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DF06E" w14:textId="413C9E92" w:rsidR="00475687" w:rsidRPr="000C5734" w:rsidRDefault="00475687" w:rsidP="00475687">
      <w:pPr>
        <w:pStyle w:val="3GPPHeader"/>
        <w:rPr>
          <w:highlight w:val="yellow"/>
          <w:lang w:val="en-US"/>
        </w:rPr>
      </w:pPr>
      <w:r w:rsidRPr="000C5734">
        <w:rPr>
          <w:lang w:val="en-US"/>
        </w:rPr>
        <w:t xml:space="preserve">3GPP TSG RAN WG1 Meeting </w:t>
      </w:r>
      <w:r>
        <w:rPr>
          <w:lang w:val="en-US"/>
        </w:rPr>
        <w:t>#92bis</w:t>
      </w:r>
      <w:r w:rsidRPr="000C5734">
        <w:rPr>
          <w:lang w:val="en-US"/>
        </w:rPr>
        <w:tab/>
      </w:r>
      <w:r w:rsidRPr="00C1755A">
        <w:rPr>
          <w:lang w:val="en-US"/>
        </w:rPr>
        <w:t>R1-18</w:t>
      </w:r>
      <w:r w:rsidR="00C1755A" w:rsidRPr="00C1755A">
        <w:rPr>
          <w:lang w:val="en-US"/>
        </w:rPr>
        <w:t>04985</w:t>
      </w:r>
    </w:p>
    <w:p w14:paraId="598D96E2" w14:textId="77777777" w:rsidR="00475687" w:rsidRPr="007679B0" w:rsidRDefault="00475687" w:rsidP="00475687">
      <w:pPr>
        <w:pStyle w:val="3GPPHeader"/>
        <w:rPr>
          <w:lang w:val="en-US"/>
        </w:rPr>
      </w:pPr>
      <w:r>
        <w:rPr>
          <w:lang w:val="en-US"/>
        </w:rPr>
        <w:t>Sanya</w:t>
      </w:r>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Pr>
          <w:lang w:val="en-US"/>
        </w:rPr>
        <w:t xml:space="preserve"> – 20</w:t>
      </w:r>
      <w:r w:rsidRPr="00E90812">
        <w:rPr>
          <w:vertAlign w:val="superscript"/>
          <w:lang w:val="en-US"/>
        </w:rPr>
        <w:t>th</w:t>
      </w:r>
      <w:r>
        <w:rPr>
          <w:lang w:val="en-US"/>
        </w:rPr>
        <w:t xml:space="preserve"> April,</w:t>
      </w:r>
      <w:r w:rsidRPr="000C5734">
        <w:rPr>
          <w:lang w:val="en-US"/>
        </w:rPr>
        <w:t xml:space="preserve"> 2018</w:t>
      </w:r>
    </w:p>
    <w:p w14:paraId="27E23DA9" w14:textId="77777777" w:rsidR="00475687" w:rsidRPr="00CE0424" w:rsidRDefault="00475687" w:rsidP="00475687">
      <w:pPr>
        <w:pStyle w:val="3GPPHeader"/>
      </w:pPr>
    </w:p>
    <w:p w14:paraId="2D6442E7" w14:textId="77777777" w:rsidR="00475687" w:rsidRPr="00327997" w:rsidRDefault="00475687" w:rsidP="00475687">
      <w:pPr>
        <w:pStyle w:val="3GPPHeader"/>
      </w:pPr>
      <w:r w:rsidRPr="00327997">
        <w:t>Source:</w:t>
      </w:r>
      <w:r w:rsidRPr="00327997">
        <w:tab/>
        <w:t>Ericsson</w:t>
      </w:r>
    </w:p>
    <w:p w14:paraId="7A676ED5" w14:textId="59C558F9" w:rsidR="00475687" w:rsidRPr="00327997" w:rsidRDefault="00475687" w:rsidP="00475687">
      <w:pPr>
        <w:pStyle w:val="3GPPHeader"/>
      </w:pPr>
      <w:r w:rsidRPr="00327997">
        <w:t>Title:</w:t>
      </w:r>
      <w:r w:rsidRPr="00327997">
        <w:tab/>
      </w:r>
      <w:r>
        <w:t>Remaining issues on SRS</w:t>
      </w:r>
    </w:p>
    <w:p w14:paraId="6D13D631" w14:textId="1B0A1718" w:rsidR="00475687" w:rsidRPr="00327997" w:rsidRDefault="00475687" w:rsidP="00475687">
      <w:pPr>
        <w:pStyle w:val="3GPPHeader"/>
      </w:pPr>
      <w:r w:rsidRPr="00327997">
        <w:t>Agenda Item:</w:t>
      </w:r>
      <w:r w:rsidRPr="00327997">
        <w:tab/>
      </w:r>
      <w:r w:rsidRPr="00C1755A">
        <w:t>7.1.2.</w:t>
      </w:r>
      <w:r w:rsidR="004649B0" w:rsidRPr="00C1755A">
        <w:t>3</w:t>
      </w:r>
      <w:r w:rsidRPr="00C1755A">
        <w:t>.</w:t>
      </w:r>
      <w:r w:rsidR="004649B0" w:rsidRPr="004649B0">
        <w:t>5</w:t>
      </w:r>
    </w:p>
    <w:p w14:paraId="2D0CF689" w14:textId="77777777" w:rsidR="00475687" w:rsidRPr="00CE0424" w:rsidRDefault="00475687" w:rsidP="00475687">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70387F4F" w14:textId="6DB0ECB3" w:rsidR="00BF617B" w:rsidRDefault="001A77C2" w:rsidP="00BF7642">
      <w:pPr>
        <w:pStyle w:val="BodyText"/>
      </w:pPr>
      <w:r>
        <w:t xml:space="preserve">In this contribution, we discuss </w:t>
      </w:r>
      <w:r w:rsidR="00BF617B">
        <w:t>corrections to SRS set configuration to support reciprocity-based DL beamforming. We also discuss periodicity for periodic/semi-persistent SRS.</w:t>
      </w:r>
    </w:p>
    <w:p w14:paraId="3CB8F8BC" w14:textId="4CB57C4E" w:rsidR="004000E8" w:rsidRDefault="004000E8" w:rsidP="00CE0424">
      <w:pPr>
        <w:pStyle w:val="Heading1"/>
      </w:pPr>
      <w:bookmarkStart w:id="0" w:name="_Ref178064866"/>
      <w:r w:rsidRPr="00CE0424">
        <w:t>Discussion</w:t>
      </w:r>
      <w:bookmarkEnd w:id="0"/>
    </w:p>
    <w:p w14:paraId="43BCE4B8" w14:textId="64954E3E" w:rsidR="00B738C5" w:rsidRDefault="00B738C5" w:rsidP="00B738C5">
      <w:pPr>
        <w:pStyle w:val="Heading2"/>
      </w:pPr>
      <w:r>
        <w:t xml:space="preserve">Triggering of aperiodic SRS </w:t>
      </w:r>
      <w:r w:rsidR="00067497">
        <w:t>set(s) with</w:t>
      </w:r>
      <w:r>
        <w:t xml:space="preserve"> DCI Formats 0_1 and 1_1</w:t>
      </w:r>
    </w:p>
    <w:p w14:paraId="38ABA811" w14:textId="30CC831A" w:rsidR="00910852" w:rsidRDefault="00B738C5" w:rsidP="00B738C5">
      <w:r>
        <w:t xml:space="preserve">Triggering of aperiodic SRS </w:t>
      </w:r>
      <w:r w:rsidR="00910852">
        <w:t xml:space="preserve">resource sets </w:t>
      </w:r>
      <w:r>
        <w:t>is currently broken</w:t>
      </w:r>
      <w:r w:rsidR="00910852">
        <w:t xml:space="preserve"> in specifications</w:t>
      </w:r>
      <w:r>
        <w:t xml:space="preserve">. </w:t>
      </w:r>
      <w:r w:rsidR="007A2A79">
        <w:t>In</w:t>
      </w:r>
      <w:r>
        <w:t xml:space="preserve"> 38.212 Section 7.3.1</w:t>
      </w:r>
      <w:r w:rsidR="00910852">
        <w:t xml:space="preserve"> </w:t>
      </w:r>
      <w:r w:rsidR="00910852">
        <w:fldChar w:fldCharType="begin"/>
      </w:r>
      <w:r w:rsidR="00910852">
        <w:instrText xml:space="preserve"> REF _Ref510106549 \r \h </w:instrText>
      </w:r>
      <w:r w:rsidR="00910852">
        <w:fldChar w:fldCharType="separate"/>
      </w:r>
      <w:r w:rsidR="00862BCA">
        <w:t>[1]</w:t>
      </w:r>
      <w:r w:rsidR="00910852">
        <w:fldChar w:fldCharType="end"/>
      </w:r>
      <w:r>
        <w:t>, the 2-bit SRS request field in</w:t>
      </w:r>
      <w:r w:rsidR="00910852">
        <w:t xml:space="preserve"> DCI formats 0_1 and 1_1 is always present, i.e., not configurable. This means that there are 4 DCI codepoints for triggering SRS resource set(s). So that SRS is not triggered every time either DCI format 0_1 or 1_1 is used, one of the 4 codepoints must be reserved for “no triggering.” It makes sense that this should be the ‘00’ codepoint. However, </w:t>
      </w:r>
      <w:r w:rsidR="007A2A79">
        <w:t xml:space="preserve">within </w:t>
      </w:r>
      <w:r w:rsidR="00910852">
        <w:t xml:space="preserve">the SRS set configuration </w:t>
      </w:r>
      <w:r w:rsidR="007A2A79" w:rsidRPr="007A2A79">
        <w:rPr>
          <w:i/>
        </w:rPr>
        <w:t>SRS-ResourceSet</w:t>
      </w:r>
      <w:r w:rsidR="007A2A79" w:rsidRPr="00A21C0F">
        <w:t xml:space="preserve"> </w:t>
      </w:r>
      <w:r w:rsidR="007A2A79">
        <w:t xml:space="preserve">IE </w:t>
      </w:r>
      <w:r w:rsidR="00910852">
        <w:t xml:space="preserve">in 38.331, Section 6.3.2 </w:t>
      </w:r>
      <w:r w:rsidR="00910852">
        <w:fldChar w:fldCharType="begin"/>
      </w:r>
      <w:r w:rsidR="00910852">
        <w:instrText xml:space="preserve"> REF _Ref506553566 \r \h </w:instrText>
      </w:r>
      <w:r w:rsidR="00910852">
        <w:fldChar w:fldCharType="separate"/>
      </w:r>
      <w:r w:rsidR="00862BCA">
        <w:t>[2]</w:t>
      </w:r>
      <w:r w:rsidR="00910852">
        <w:fldChar w:fldCharType="end"/>
      </w:r>
      <w:r w:rsidR="00910852">
        <w:t xml:space="preserve">, the RRC parameter </w:t>
      </w:r>
      <w:r w:rsidR="00910852" w:rsidRPr="00D804E6">
        <w:rPr>
          <w:i/>
        </w:rPr>
        <w:t>aperiodicSRS-ResourceTrigger</w:t>
      </w:r>
      <w:r w:rsidR="00910852" w:rsidRPr="00910852">
        <w:t xml:space="preserve"> which</w:t>
      </w:r>
      <w:r w:rsidR="00910852">
        <w:t xml:space="preserve"> corresponds to the 4 DCI codepoints can </w:t>
      </w:r>
      <w:r w:rsidR="007A2A79">
        <w:t>be configured with integer</w:t>
      </w:r>
      <w:r w:rsidR="00910852">
        <w:t xml:space="preserve"> values 0 .. 3. This means that if an SRS set is configured with </w:t>
      </w:r>
      <w:r w:rsidR="00910852" w:rsidRPr="00D804E6">
        <w:rPr>
          <w:i/>
        </w:rPr>
        <w:t>aperiodicSRS-ResourceTrigger</w:t>
      </w:r>
      <w:r w:rsidR="00910852">
        <w:t xml:space="preserve"> = 0, then that set will be triggered every time the SRS request field in DCI indicates “no triggering</w:t>
      </w:r>
      <w:r w:rsidR="007A2A79">
        <w:t>,</w:t>
      </w:r>
      <w:r w:rsidR="00910852">
        <w:t>”</w:t>
      </w:r>
      <w:r w:rsidR="007A2A79">
        <w:t xml:space="preserve"> i.e., codepoint ’00.’</w:t>
      </w:r>
      <w:r w:rsidR="00910852">
        <w:t xml:space="preserve"> Clearly this is not the </w:t>
      </w:r>
      <w:r w:rsidR="007A2A79">
        <w:t>intended behavior</w:t>
      </w:r>
      <w:r w:rsidR="00910852">
        <w:t>. To fix this we propose the following</w:t>
      </w:r>
      <w:r w:rsidR="004E395A">
        <w:t>:</w:t>
      </w:r>
    </w:p>
    <w:p w14:paraId="582AB815" w14:textId="1124BE5F" w:rsidR="00910852" w:rsidRPr="007A2A79" w:rsidRDefault="007A2A79" w:rsidP="00910852">
      <w:pPr>
        <w:pStyle w:val="Proposal"/>
      </w:pPr>
      <w:bookmarkStart w:id="1" w:name="_Ref510107423"/>
      <w:bookmarkStart w:id="2" w:name="_Toc510109275"/>
      <w:bookmarkStart w:id="3" w:name="_Toc510109380"/>
      <w:bookmarkStart w:id="4" w:name="_Toc510109450"/>
      <w:bookmarkStart w:id="5" w:name="_Toc510109790"/>
      <w:bookmarkStart w:id="6" w:name="_Toc510779035"/>
      <w:r>
        <w:t>To avoid triggering an SRS resource set</w:t>
      </w:r>
      <w:r w:rsidR="00484CBA">
        <w:t>(s)</w:t>
      </w:r>
      <w:r>
        <w:t xml:space="preserve"> when </w:t>
      </w:r>
      <w:r w:rsidR="00484CBA">
        <w:t xml:space="preserve">the SRS request field in </w:t>
      </w:r>
      <w:r>
        <w:t>DCI indicates “no triggering,” c</w:t>
      </w:r>
      <w:r w:rsidR="00910852">
        <w:t xml:space="preserve">hange the value range of the RRC parameter </w:t>
      </w:r>
      <w:r w:rsidRPr="00D804E6">
        <w:rPr>
          <w:i/>
        </w:rPr>
        <w:t>aperiodicSRS-ResourceTrigger</w:t>
      </w:r>
      <w:r>
        <w:rPr>
          <w:i/>
        </w:rPr>
        <w:t xml:space="preserve"> to be 1 .. 3 instead of 0 .. 3.</w:t>
      </w:r>
      <w:bookmarkEnd w:id="1"/>
      <w:bookmarkEnd w:id="2"/>
      <w:bookmarkEnd w:id="3"/>
      <w:bookmarkEnd w:id="4"/>
      <w:bookmarkEnd w:id="5"/>
      <w:bookmarkEnd w:id="6"/>
    </w:p>
    <w:p w14:paraId="7E3EBAFC" w14:textId="73D46297" w:rsidR="007A2A79" w:rsidRPr="00910852" w:rsidRDefault="007A2A79" w:rsidP="007A2A79">
      <w:pPr>
        <w:pStyle w:val="BodyText"/>
      </w:pPr>
      <w:r>
        <w:t xml:space="preserve">A text proposal implementing </w:t>
      </w:r>
      <w:r>
        <w:fldChar w:fldCharType="begin"/>
      </w:r>
      <w:r>
        <w:instrText xml:space="preserve"> REF _Ref510107423 \r \h </w:instrText>
      </w:r>
      <w:r>
        <w:fldChar w:fldCharType="separate"/>
      </w:r>
      <w:r w:rsidR="00862BCA">
        <w:t>Proposal 1</w:t>
      </w:r>
      <w:r>
        <w:fldChar w:fldCharType="end"/>
      </w:r>
      <w:r>
        <w:t xml:space="preserve"> is as follows:</w:t>
      </w:r>
    </w:p>
    <w:p w14:paraId="2D32DDBB" w14:textId="77777777" w:rsidR="007A2A79" w:rsidRDefault="007A2A79" w:rsidP="007A2A79">
      <w:pPr>
        <w:rPr>
          <w:highlight w:val="yellow"/>
        </w:rPr>
      </w:pPr>
      <w:r>
        <w:rPr>
          <w:highlight w:val="yellow"/>
        </w:rPr>
        <w:t>&gt;&gt;&gt; Text proposal for 38.331 Section 6.3.2 &gt;&gt;&gt;</w:t>
      </w:r>
    </w:p>
    <w:p w14:paraId="13710975" w14:textId="77777777" w:rsidR="007A2A79" w:rsidRPr="00D804E6" w:rsidRDefault="007A2A79" w:rsidP="007A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ind w:right="-1080"/>
        <w:jc w:val="left"/>
        <w:textAlignment w:val="auto"/>
        <w:rPr>
          <w:rFonts w:ascii="Courier New" w:eastAsia="Batang" w:hAnsi="Courier New"/>
          <w:noProof/>
          <w:color w:val="808080"/>
          <w:sz w:val="16"/>
          <w:lang w:eastAsia="sv-SE"/>
        </w:rPr>
      </w:pP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color w:val="808080"/>
          <w:sz w:val="16"/>
          <w:lang w:eastAsia="sv-SE"/>
        </w:rPr>
        <w:t>-- Corresponds to L1 parameter 'AperiodicSRS-ResourceTrigger' (see 38.214, section 6.1.1.2)</w:t>
      </w:r>
    </w:p>
    <w:p w14:paraId="5F88D809" w14:textId="639F8BC1" w:rsidR="007A2A79" w:rsidRPr="007A2A79" w:rsidRDefault="007A2A79" w:rsidP="007A2A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ind w:right="-1080"/>
        <w:jc w:val="left"/>
        <w:textAlignment w:val="auto"/>
        <w:rPr>
          <w:rFonts w:ascii="Courier New" w:eastAsia="Batang" w:hAnsi="Courier New"/>
          <w:noProof/>
          <w:sz w:val="16"/>
          <w:lang w:eastAsia="sv-SE"/>
        </w:rPr>
      </w:pP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sz w:val="16"/>
          <w:lang w:eastAsia="sv-SE"/>
        </w:rPr>
        <w:tab/>
        <w:t>aperiodicSRS-ResourceTrigger</w:t>
      </w: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color w:val="993366"/>
          <w:sz w:val="16"/>
          <w:lang w:eastAsia="sv-SE"/>
        </w:rPr>
        <w:t>INTEGER</w:t>
      </w:r>
      <w:r w:rsidRPr="00D804E6">
        <w:rPr>
          <w:rFonts w:ascii="Courier New" w:eastAsia="Batang" w:hAnsi="Courier New"/>
          <w:noProof/>
          <w:sz w:val="16"/>
          <w:lang w:eastAsia="sv-SE"/>
        </w:rPr>
        <w:t xml:space="preserve"> (</w:t>
      </w:r>
      <w:r w:rsidRPr="00D804E6">
        <w:rPr>
          <w:rFonts w:ascii="Courier New" w:eastAsia="Batang" w:hAnsi="Courier New"/>
          <w:strike/>
          <w:noProof/>
          <w:color w:val="FF0000"/>
          <w:sz w:val="16"/>
          <w:lang w:eastAsia="sv-SE"/>
        </w:rPr>
        <w:t>0</w:t>
      </w:r>
      <w:r w:rsidRPr="00D804E6">
        <w:rPr>
          <w:rFonts w:ascii="Courier New" w:eastAsia="Batang" w:hAnsi="Courier New"/>
          <w:noProof/>
          <w:color w:val="FF0000"/>
          <w:sz w:val="16"/>
          <w:lang w:eastAsia="sv-SE"/>
        </w:rPr>
        <w:t xml:space="preserve"> 1</w:t>
      </w:r>
      <w:r w:rsidRPr="00D804E6">
        <w:rPr>
          <w:rFonts w:ascii="Courier New" w:eastAsia="Batang" w:hAnsi="Courier New"/>
          <w:noProof/>
          <w:sz w:val="16"/>
          <w:lang w:eastAsia="sv-SE"/>
        </w:rPr>
        <w:t>..maxNrofSRS-TriggerStates-1),</w:t>
      </w:r>
    </w:p>
    <w:p w14:paraId="36D25671" w14:textId="21C02726" w:rsidR="00910852" w:rsidRPr="007A2A79" w:rsidRDefault="007A2A79" w:rsidP="00B738C5">
      <w:pPr>
        <w:rPr>
          <w:highlight w:val="yellow"/>
        </w:rPr>
      </w:pPr>
      <w:r>
        <w:rPr>
          <w:highlight w:val="yellow"/>
        </w:rPr>
        <w:t>&gt;&gt;&gt; End text proposal &gt;&gt;&gt;</w:t>
      </w:r>
    </w:p>
    <w:p w14:paraId="0C7338A5" w14:textId="1A7D9D2B" w:rsidR="007A2A79" w:rsidRDefault="007A2A79" w:rsidP="00B738C5">
      <w:r>
        <w:t xml:space="preserve">Another issue is that Table 7.3.1.1.2-24 in 38.212 </w:t>
      </w:r>
      <w:r>
        <w:fldChar w:fldCharType="begin"/>
      </w:r>
      <w:r>
        <w:instrText xml:space="preserve"> REF _Ref510106549 \r \h </w:instrText>
      </w:r>
      <w:r>
        <w:fldChar w:fldCharType="separate"/>
      </w:r>
      <w:r w:rsidR="00862BCA">
        <w:t>[1]</w:t>
      </w:r>
      <w:r>
        <w:fldChar w:fldCharType="end"/>
      </w:r>
      <w:r>
        <w:t xml:space="preserve"> that maps the DCI codepoints to the triggered SRS resource set(s) is empty. To make this table consistent with </w:t>
      </w:r>
      <w:r w:rsidR="00484CBA">
        <w:t xml:space="preserve">the above change to </w:t>
      </w:r>
      <w:r>
        <w:t>38.331, we propose</w:t>
      </w:r>
      <w:r w:rsidR="004E395A">
        <w:t xml:space="preserve"> the following:</w:t>
      </w:r>
    </w:p>
    <w:p w14:paraId="2B0439C0" w14:textId="2925654B" w:rsidR="007A2A79" w:rsidRPr="004E395A" w:rsidRDefault="007A2A79" w:rsidP="007A2A79">
      <w:pPr>
        <w:pStyle w:val="Proposal"/>
      </w:pPr>
      <w:bookmarkStart w:id="7" w:name="_Ref510107972"/>
      <w:bookmarkStart w:id="8" w:name="_Toc510109276"/>
      <w:bookmarkStart w:id="9" w:name="_Toc510109381"/>
      <w:bookmarkStart w:id="10" w:name="_Toc510109451"/>
      <w:bookmarkStart w:id="11" w:name="_Toc510109791"/>
      <w:bookmarkStart w:id="12" w:name="_Toc510779036"/>
      <w:r>
        <w:t xml:space="preserve">To specify </w:t>
      </w:r>
      <w:r w:rsidR="00484CBA">
        <w:t xml:space="preserve">the </w:t>
      </w:r>
      <w:r>
        <w:t xml:space="preserve">mapping between the codepoints of the SRS request field </w:t>
      </w:r>
      <w:r w:rsidR="00484CBA">
        <w:t xml:space="preserve">in DCI </w:t>
      </w:r>
      <w:r>
        <w:t>and the triggered SRS resource set(s) fill in the missing entries of Table 7.3.1.1.2-24 in a manner consistent with</w:t>
      </w:r>
      <w:r w:rsidR="004E395A">
        <w:t xml:space="preserve"> the allowed values of</w:t>
      </w:r>
      <w:r>
        <w:t xml:space="preserve"> the </w:t>
      </w:r>
      <w:r w:rsidR="004E395A">
        <w:t xml:space="preserve">RRC parameter </w:t>
      </w:r>
      <w:r w:rsidR="004E395A" w:rsidRPr="00D804E6">
        <w:rPr>
          <w:i/>
        </w:rPr>
        <w:t>aperiodicSRS-ResourceTrigger</w:t>
      </w:r>
      <w:r w:rsidR="004E395A">
        <w:rPr>
          <w:i/>
        </w:rPr>
        <w:t>.</w:t>
      </w:r>
      <w:bookmarkEnd w:id="7"/>
      <w:bookmarkEnd w:id="8"/>
      <w:bookmarkEnd w:id="9"/>
      <w:bookmarkEnd w:id="10"/>
      <w:bookmarkEnd w:id="11"/>
      <w:bookmarkEnd w:id="12"/>
    </w:p>
    <w:p w14:paraId="2D357A8A" w14:textId="7C2E1452" w:rsidR="00862BCA" w:rsidRDefault="004E395A" w:rsidP="004E395A">
      <w:pPr>
        <w:pStyle w:val="BodyText"/>
      </w:pPr>
      <w:r>
        <w:t xml:space="preserve">A text proposal implementing </w:t>
      </w:r>
      <w:r>
        <w:fldChar w:fldCharType="begin"/>
      </w:r>
      <w:r>
        <w:instrText xml:space="preserve"> REF _Ref510107972 \r \h </w:instrText>
      </w:r>
      <w:r>
        <w:fldChar w:fldCharType="separate"/>
      </w:r>
      <w:r w:rsidR="00862BCA">
        <w:t>Proposal 2</w:t>
      </w:r>
      <w:r>
        <w:fldChar w:fldCharType="end"/>
      </w:r>
      <w:r>
        <w:t xml:space="preserve"> is as follows:</w:t>
      </w:r>
    </w:p>
    <w:p w14:paraId="0C3AC124" w14:textId="77777777" w:rsidR="00B738C5" w:rsidRDefault="00B738C5" w:rsidP="00B738C5">
      <w:pPr>
        <w:rPr>
          <w:highlight w:val="yellow"/>
        </w:rPr>
      </w:pPr>
      <w:r w:rsidRPr="000339A1">
        <w:rPr>
          <w:highlight w:val="yellow"/>
        </w:rPr>
        <w:t>&gt;&gt;&gt; Text proposal for 38.212 Section 7.3.1</w:t>
      </w:r>
      <w:r>
        <w:rPr>
          <w:highlight w:val="yellow"/>
        </w:rPr>
        <w:t xml:space="preserve">.1.2 </w:t>
      </w:r>
      <w:r w:rsidRPr="000339A1">
        <w:rPr>
          <w:highlight w:val="yellow"/>
        </w:rPr>
        <w:t>&gt;&gt;&gt;</w:t>
      </w:r>
    </w:p>
    <w:p w14:paraId="45103A0D" w14:textId="77777777" w:rsidR="00B738C5" w:rsidRPr="005C26DA" w:rsidRDefault="00B738C5" w:rsidP="00B738C5">
      <w:pPr>
        <w:pStyle w:val="TH"/>
        <w:rPr>
          <w:lang w:eastAsia="zh-CN"/>
        </w:rPr>
      </w:pPr>
      <w:r>
        <w:lastRenderedPageBreak/>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B738C5" w14:paraId="6B42038A" w14:textId="77777777" w:rsidTr="00910852">
        <w:trPr>
          <w:trHeight w:val="631"/>
          <w:jc w:val="center"/>
        </w:trPr>
        <w:tc>
          <w:tcPr>
            <w:tcW w:w="2742" w:type="dxa"/>
            <w:shd w:val="clear" w:color="auto" w:fill="D9D9D9"/>
            <w:vAlign w:val="center"/>
          </w:tcPr>
          <w:p w14:paraId="1A8FD280" w14:textId="77777777" w:rsidR="00B738C5" w:rsidRPr="000F66EB" w:rsidRDefault="00B738C5" w:rsidP="00910852">
            <w:pPr>
              <w:pStyle w:val="TAC"/>
              <w:rPr>
                <w:lang w:eastAsia="zh-CN"/>
              </w:rPr>
            </w:pPr>
            <w:r>
              <w:rPr>
                <w:rFonts w:hint="eastAsia"/>
                <w:lang w:eastAsia="zh-CN"/>
              </w:rPr>
              <w:t>Value of SRS request field</w:t>
            </w:r>
          </w:p>
        </w:tc>
        <w:tc>
          <w:tcPr>
            <w:tcW w:w="5579" w:type="dxa"/>
            <w:shd w:val="clear" w:color="auto" w:fill="D9D9D9"/>
            <w:vAlign w:val="center"/>
          </w:tcPr>
          <w:p w14:paraId="1A8B40CF" w14:textId="17D27393" w:rsidR="00B738C5" w:rsidRPr="000F66EB" w:rsidRDefault="007A2A79" w:rsidP="00910852">
            <w:pPr>
              <w:pStyle w:val="TAC"/>
              <w:rPr>
                <w:lang w:eastAsia="zh-CN"/>
              </w:rPr>
            </w:pPr>
            <w:r w:rsidRPr="007A2A79">
              <w:rPr>
                <w:color w:val="FF0000"/>
                <w:lang w:eastAsia="zh-CN"/>
              </w:rPr>
              <w:t xml:space="preserve">Triggered </w:t>
            </w:r>
            <w:r w:rsidR="004E395A">
              <w:rPr>
                <w:color w:val="FF0000"/>
                <w:lang w:eastAsia="zh-CN"/>
              </w:rPr>
              <w:t xml:space="preserve">aperiodic </w:t>
            </w:r>
            <w:r w:rsidR="00B738C5">
              <w:rPr>
                <w:rFonts w:hint="eastAsia"/>
                <w:lang w:eastAsia="zh-CN"/>
              </w:rPr>
              <w:t>SRS resource set</w:t>
            </w:r>
            <w:r w:rsidRPr="007A2A79">
              <w:rPr>
                <w:color w:val="FF0000"/>
                <w:lang w:eastAsia="zh-CN"/>
              </w:rPr>
              <w:t>(s)</w:t>
            </w:r>
          </w:p>
        </w:tc>
      </w:tr>
      <w:tr w:rsidR="00B738C5" w14:paraId="69918C40" w14:textId="77777777" w:rsidTr="00910852">
        <w:trPr>
          <w:jc w:val="center"/>
        </w:trPr>
        <w:tc>
          <w:tcPr>
            <w:tcW w:w="2742" w:type="dxa"/>
            <w:shd w:val="clear" w:color="auto" w:fill="auto"/>
            <w:vAlign w:val="center"/>
          </w:tcPr>
          <w:p w14:paraId="5E8EA3C4" w14:textId="77777777" w:rsidR="00B738C5" w:rsidRPr="00396412" w:rsidRDefault="00B738C5" w:rsidP="00910852">
            <w:pPr>
              <w:pStyle w:val="TAC"/>
              <w:rPr>
                <w:sz w:val="20"/>
                <w:lang w:eastAsia="zh-CN"/>
              </w:rPr>
            </w:pPr>
            <w:r w:rsidRPr="00396412">
              <w:rPr>
                <w:rFonts w:hint="eastAsia"/>
                <w:sz w:val="20"/>
                <w:lang w:eastAsia="zh-CN"/>
              </w:rPr>
              <w:t>00</w:t>
            </w:r>
          </w:p>
        </w:tc>
        <w:tc>
          <w:tcPr>
            <w:tcW w:w="5579" w:type="dxa"/>
            <w:shd w:val="clear" w:color="auto" w:fill="auto"/>
            <w:vAlign w:val="center"/>
          </w:tcPr>
          <w:p w14:paraId="212D7FEE" w14:textId="77777777" w:rsidR="00B738C5" w:rsidRPr="00396412" w:rsidRDefault="00B738C5" w:rsidP="00910852">
            <w:pPr>
              <w:pStyle w:val="TAC"/>
              <w:rPr>
                <w:color w:val="FF0000"/>
                <w:sz w:val="16"/>
                <w:szCs w:val="16"/>
                <w:lang w:eastAsia="zh-CN"/>
              </w:rPr>
            </w:pPr>
            <w:r w:rsidRPr="00396412">
              <w:rPr>
                <w:color w:val="FF0000"/>
                <w:sz w:val="20"/>
              </w:rPr>
              <w:t>No aperiodic SRS resource set triggered</w:t>
            </w:r>
          </w:p>
        </w:tc>
      </w:tr>
      <w:tr w:rsidR="00B738C5" w14:paraId="0A938EE9" w14:textId="77777777" w:rsidTr="00910852">
        <w:trPr>
          <w:jc w:val="center"/>
        </w:trPr>
        <w:tc>
          <w:tcPr>
            <w:tcW w:w="2742" w:type="dxa"/>
            <w:shd w:val="clear" w:color="auto" w:fill="auto"/>
            <w:vAlign w:val="center"/>
          </w:tcPr>
          <w:p w14:paraId="0FBE5556" w14:textId="77777777" w:rsidR="00B738C5" w:rsidRPr="00396412" w:rsidRDefault="00B738C5" w:rsidP="00910852">
            <w:pPr>
              <w:pStyle w:val="TAC"/>
              <w:rPr>
                <w:sz w:val="20"/>
                <w:lang w:eastAsia="zh-CN"/>
              </w:rPr>
            </w:pPr>
            <w:r w:rsidRPr="00396412">
              <w:rPr>
                <w:rFonts w:hint="eastAsia"/>
                <w:sz w:val="20"/>
                <w:lang w:eastAsia="zh-CN"/>
              </w:rPr>
              <w:t>01</w:t>
            </w:r>
          </w:p>
        </w:tc>
        <w:tc>
          <w:tcPr>
            <w:tcW w:w="5579" w:type="dxa"/>
            <w:shd w:val="clear" w:color="auto" w:fill="auto"/>
            <w:vAlign w:val="center"/>
          </w:tcPr>
          <w:p w14:paraId="13DC6ECE" w14:textId="77777777" w:rsidR="00B738C5" w:rsidRPr="00396412" w:rsidRDefault="00B738C5" w:rsidP="00910852">
            <w:pPr>
              <w:pStyle w:val="TAC"/>
              <w:rPr>
                <w:color w:val="FF0000"/>
                <w:sz w:val="16"/>
                <w:szCs w:val="16"/>
                <w:lang w:eastAsia="zh-CN"/>
              </w:rPr>
            </w:pPr>
            <w:r w:rsidRPr="00396412">
              <w:rPr>
                <w:color w:val="FF0000"/>
                <w:sz w:val="20"/>
              </w:rPr>
              <w:t xml:space="preserve">SRS resource set(s) configured with higher layer parameter </w:t>
            </w:r>
            <w:r w:rsidRPr="00396412">
              <w:rPr>
                <w:i/>
                <w:iCs/>
                <w:color w:val="FF0000"/>
                <w:sz w:val="20"/>
              </w:rPr>
              <w:t>aperiodicSRS-ResourceTrigger</w:t>
            </w:r>
            <w:r w:rsidRPr="00396412">
              <w:rPr>
                <w:color w:val="FF0000"/>
                <w:sz w:val="20"/>
              </w:rPr>
              <w:t xml:space="preserve"> set to 1</w:t>
            </w:r>
          </w:p>
        </w:tc>
      </w:tr>
      <w:tr w:rsidR="00B738C5" w14:paraId="09B8F702" w14:textId="77777777" w:rsidTr="00910852">
        <w:trPr>
          <w:jc w:val="center"/>
        </w:trPr>
        <w:tc>
          <w:tcPr>
            <w:tcW w:w="2742" w:type="dxa"/>
            <w:shd w:val="clear" w:color="auto" w:fill="auto"/>
            <w:vAlign w:val="center"/>
          </w:tcPr>
          <w:p w14:paraId="59DE2B5A" w14:textId="77777777" w:rsidR="00B738C5" w:rsidRPr="00396412" w:rsidRDefault="00B738C5" w:rsidP="00910852">
            <w:pPr>
              <w:pStyle w:val="TAC"/>
              <w:rPr>
                <w:sz w:val="20"/>
                <w:lang w:eastAsia="zh-CN"/>
              </w:rPr>
            </w:pPr>
            <w:r w:rsidRPr="00396412">
              <w:rPr>
                <w:rFonts w:hint="eastAsia"/>
                <w:sz w:val="20"/>
                <w:lang w:eastAsia="zh-CN"/>
              </w:rPr>
              <w:t>10</w:t>
            </w:r>
          </w:p>
        </w:tc>
        <w:tc>
          <w:tcPr>
            <w:tcW w:w="5579" w:type="dxa"/>
            <w:shd w:val="clear" w:color="auto" w:fill="auto"/>
            <w:vAlign w:val="center"/>
          </w:tcPr>
          <w:p w14:paraId="3B320A11" w14:textId="77777777" w:rsidR="00B738C5" w:rsidRPr="00396412" w:rsidRDefault="00B738C5" w:rsidP="00910852">
            <w:pPr>
              <w:pStyle w:val="TAC"/>
              <w:rPr>
                <w:color w:val="FF0000"/>
                <w:sz w:val="16"/>
                <w:szCs w:val="16"/>
                <w:lang w:eastAsia="zh-CN"/>
              </w:rPr>
            </w:pPr>
            <w:r w:rsidRPr="00396412">
              <w:rPr>
                <w:color w:val="FF0000"/>
                <w:sz w:val="20"/>
              </w:rPr>
              <w:t xml:space="preserve">SRS resource set(s) configured with higher layer parameter </w:t>
            </w:r>
            <w:r w:rsidRPr="00396412">
              <w:rPr>
                <w:i/>
                <w:iCs/>
                <w:color w:val="FF0000"/>
                <w:sz w:val="20"/>
              </w:rPr>
              <w:t>aperiodicSRS-ResourceTrigger</w:t>
            </w:r>
            <w:r w:rsidRPr="00396412">
              <w:rPr>
                <w:color w:val="FF0000"/>
                <w:sz w:val="20"/>
              </w:rPr>
              <w:t xml:space="preserve"> set to 2</w:t>
            </w:r>
          </w:p>
        </w:tc>
      </w:tr>
      <w:tr w:rsidR="00B738C5" w14:paraId="73AE65A6" w14:textId="77777777" w:rsidTr="00910852">
        <w:trPr>
          <w:jc w:val="center"/>
        </w:trPr>
        <w:tc>
          <w:tcPr>
            <w:tcW w:w="2742" w:type="dxa"/>
            <w:shd w:val="clear" w:color="auto" w:fill="auto"/>
            <w:vAlign w:val="center"/>
          </w:tcPr>
          <w:p w14:paraId="17E8D07C" w14:textId="77777777" w:rsidR="00B738C5" w:rsidRPr="00396412" w:rsidRDefault="00B738C5" w:rsidP="00910852">
            <w:pPr>
              <w:pStyle w:val="TAC"/>
              <w:rPr>
                <w:sz w:val="20"/>
                <w:lang w:eastAsia="zh-CN"/>
              </w:rPr>
            </w:pPr>
            <w:r w:rsidRPr="00396412">
              <w:rPr>
                <w:rFonts w:hint="eastAsia"/>
                <w:sz w:val="20"/>
                <w:lang w:eastAsia="zh-CN"/>
              </w:rPr>
              <w:t>11</w:t>
            </w:r>
          </w:p>
        </w:tc>
        <w:tc>
          <w:tcPr>
            <w:tcW w:w="5579" w:type="dxa"/>
            <w:shd w:val="clear" w:color="auto" w:fill="auto"/>
            <w:vAlign w:val="center"/>
          </w:tcPr>
          <w:p w14:paraId="5992E6D5" w14:textId="77777777" w:rsidR="00B738C5" w:rsidRPr="00396412" w:rsidRDefault="00B738C5" w:rsidP="00910852">
            <w:pPr>
              <w:pStyle w:val="TAC"/>
              <w:rPr>
                <w:color w:val="FF0000"/>
                <w:sz w:val="16"/>
                <w:szCs w:val="16"/>
                <w:lang w:eastAsia="zh-CN"/>
              </w:rPr>
            </w:pPr>
            <w:r w:rsidRPr="00396412">
              <w:rPr>
                <w:color w:val="FF0000"/>
                <w:sz w:val="20"/>
              </w:rPr>
              <w:t xml:space="preserve">SRS resource set(s) configured with higher layer parameter </w:t>
            </w:r>
            <w:r w:rsidRPr="00396412">
              <w:rPr>
                <w:i/>
                <w:iCs/>
                <w:color w:val="FF0000"/>
                <w:sz w:val="20"/>
              </w:rPr>
              <w:t>aperiodicSRS-ResourceTrigger</w:t>
            </w:r>
            <w:r w:rsidRPr="00396412">
              <w:rPr>
                <w:color w:val="FF0000"/>
                <w:sz w:val="20"/>
              </w:rPr>
              <w:t xml:space="preserve"> set to 3</w:t>
            </w:r>
          </w:p>
        </w:tc>
      </w:tr>
    </w:tbl>
    <w:p w14:paraId="047E7D35" w14:textId="77777777" w:rsidR="00B738C5" w:rsidRDefault="00B738C5" w:rsidP="00B738C5"/>
    <w:p w14:paraId="0395FCF3" w14:textId="77777777" w:rsidR="00B738C5" w:rsidRDefault="00B738C5" w:rsidP="00B738C5">
      <w:pPr>
        <w:rPr>
          <w:highlight w:val="yellow"/>
        </w:rPr>
      </w:pPr>
      <w:r w:rsidRPr="000339A1">
        <w:rPr>
          <w:highlight w:val="yellow"/>
        </w:rPr>
        <w:t>&gt;&gt;&gt; End text proposal &gt;&gt;&gt;</w:t>
      </w:r>
    </w:p>
    <w:p w14:paraId="481AC929" w14:textId="6554F237" w:rsidR="004E395A" w:rsidRDefault="004E395A" w:rsidP="00B738C5">
      <w:r>
        <w:t xml:space="preserve">A final issue is that with the above changes, there is now duplication between 38.212 and 38.214 </w:t>
      </w:r>
      <w:r w:rsidR="00862BCA">
        <w:fldChar w:fldCharType="begin"/>
      </w:r>
      <w:r w:rsidR="00862BCA">
        <w:instrText xml:space="preserve"> REF _Ref510109421 \r \h </w:instrText>
      </w:r>
      <w:r w:rsidR="00862BCA">
        <w:fldChar w:fldCharType="separate"/>
      </w:r>
      <w:r w:rsidR="00862BCA">
        <w:t>[3]</w:t>
      </w:r>
      <w:r w:rsidR="00862BCA">
        <w:fldChar w:fldCharType="end"/>
      </w:r>
      <w:r>
        <w:t xml:space="preserve"> of the table mapping DCI codepoints to triggered SRS resource set(s). The natural place to have the table is 38.212 therefore we propose the following:</w:t>
      </w:r>
    </w:p>
    <w:p w14:paraId="1BBECED7" w14:textId="6DA62340" w:rsidR="004E395A" w:rsidRDefault="004E395A" w:rsidP="004E395A">
      <w:pPr>
        <w:pStyle w:val="Proposal"/>
      </w:pPr>
      <w:bookmarkStart w:id="13" w:name="_Ref510108488"/>
      <w:bookmarkStart w:id="14" w:name="_Toc510109277"/>
      <w:bookmarkStart w:id="15" w:name="_Toc510109382"/>
      <w:bookmarkStart w:id="16" w:name="_Toc510109452"/>
      <w:bookmarkStart w:id="17" w:name="_Toc510109792"/>
      <w:bookmarkStart w:id="18" w:name="_Toc510779037"/>
      <w:r>
        <w:t xml:space="preserve">To avoid duplication between 38.212 and 38.214 of the table mapping </w:t>
      </w:r>
      <w:r w:rsidR="00484CBA">
        <w:t>the</w:t>
      </w:r>
      <w:r>
        <w:t xml:space="preserve"> codepoints of the SRS request field </w:t>
      </w:r>
      <w:r w:rsidR="00484CBA">
        <w:t xml:space="preserve">in DCI </w:t>
      </w:r>
      <w:r>
        <w:t xml:space="preserve">to </w:t>
      </w:r>
      <w:r w:rsidR="00484CBA">
        <w:t xml:space="preserve">the </w:t>
      </w:r>
      <w:r>
        <w:t xml:space="preserve">triggered aperiodic SRS resource set(s), remove Table 6.2.1-1 </w:t>
      </w:r>
      <w:r w:rsidR="009C7F23">
        <w:t>from</w:t>
      </w:r>
      <w:r>
        <w:t xml:space="preserve"> 38.214.</w:t>
      </w:r>
      <w:bookmarkEnd w:id="13"/>
      <w:bookmarkEnd w:id="14"/>
      <w:bookmarkEnd w:id="15"/>
      <w:bookmarkEnd w:id="16"/>
      <w:bookmarkEnd w:id="17"/>
      <w:bookmarkEnd w:id="18"/>
    </w:p>
    <w:p w14:paraId="2C15AD93" w14:textId="6BAF1803" w:rsidR="00B738C5" w:rsidRPr="007D2F01" w:rsidRDefault="004E395A" w:rsidP="004E395A">
      <w:pPr>
        <w:pStyle w:val="BodyText"/>
      </w:pPr>
      <w:r>
        <w:t xml:space="preserve">A text proposal implementing </w:t>
      </w:r>
      <w:r>
        <w:fldChar w:fldCharType="begin"/>
      </w:r>
      <w:r>
        <w:instrText xml:space="preserve"> REF _Ref510108488 \r \h </w:instrText>
      </w:r>
      <w:r>
        <w:fldChar w:fldCharType="separate"/>
      </w:r>
      <w:r w:rsidR="00862BCA">
        <w:t>Proposal 3</w:t>
      </w:r>
      <w:r>
        <w:fldChar w:fldCharType="end"/>
      </w:r>
      <w:r>
        <w:t xml:space="preserve"> is as follows:</w:t>
      </w:r>
    </w:p>
    <w:p w14:paraId="56B0BC30" w14:textId="366A1756" w:rsidR="00B738C5" w:rsidRPr="00DB524E" w:rsidRDefault="00B738C5" w:rsidP="00B738C5">
      <w:pPr>
        <w:rPr>
          <w:highlight w:val="yellow"/>
        </w:rPr>
      </w:pPr>
      <w:r w:rsidRPr="000339A1">
        <w:rPr>
          <w:highlight w:val="yellow"/>
        </w:rPr>
        <w:t>&gt;&gt;&gt; Text proposal for 38.</w:t>
      </w:r>
      <w:r>
        <w:rPr>
          <w:highlight w:val="yellow"/>
        </w:rPr>
        <w:t>214 Section</w:t>
      </w:r>
      <w:r w:rsidR="009C7F23">
        <w:rPr>
          <w:highlight w:val="yellow"/>
        </w:rPr>
        <w:t xml:space="preserve"> 6.2.1</w:t>
      </w:r>
      <w:r>
        <w:rPr>
          <w:highlight w:val="yellow"/>
        </w:rPr>
        <w:t xml:space="preserve">  </w:t>
      </w:r>
      <w:r w:rsidRPr="000339A1">
        <w:rPr>
          <w:highlight w:val="yellow"/>
        </w:rPr>
        <w:t>&gt;&gt;&gt;</w:t>
      </w:r>
    </w:p>
    <w:p w14:paraId="55306AD5" w14:textId="77777777" w:rsidR="00B738C5" w:rsidRDefault="00B738C5" w:rsidP="00B738C5">
      <w:pPr>
        <w:rPr>
          <w:color w:val="000000"/>
          <w:lang w:val="en-US"/>
        </w:rPr>
      </w:pPr>
      <w:r>
        <w:rPr>
          <w:color w:val="000000"/>
          <w:lang w:val="en-US"/>
        </w:rPr>
        <w:t xml:space="preserve">For aperiodic SRS, </w:t>
      </w:r>
      <w:r w:rsidRPr="0048482F">
        <w:rPr>
          <w:color w:val="000000"/>
          <w:lang w:val="en-US"/>
        </w:rPr>
        <w:t>at least one state of the DCI field is used to select at least one out of the configured SRS resource set.</w:t>
      </w:r>
    </w:p>
    <w:p w14:paraId="3D7F4EB6" w14:textId="77777777" w:rsidR="00B738C5" w:rsidRPr="0048482F" w:rsidRDefault="00B738C5" w:rsidP="00B738C5">
      <w:r w:rsidRPr="0048482F">
        <w:t>The 2-bit SRS request field [5</w:t>
      </w:r>
      <w:r>
        <w:t>,</w:t>
      </w:r>
      <w:r w:rsidRPr="0048482F">
        <w:t xml:space="preserve"> TS38.212] in DCI format 0</w:t>
      </w:r>
      <w:r>
        <w:t>_</w:t>
      </w:r>
      <w:r w:rsidRPr="0048482F">
        <w:t>1, 1</w:t>
      </w:r>
      <w:r>
        <w:t>_</w:t>
      </w:r>
      <w:r w:rsidRPr="0048482F">
        <w:t xml:space="preserve">1 indicates the triggered SRS resource set given in Table </w:t>
      </w:r>
      <w:r w:rsidRPr="00DB524E">
        <w:rPr>
          <w:strike/>
          <w:color w:val="FF0000"/>
        </w:rPr>
        <w:t>6.2.1-1</w:t>
      </w:r>
      <w:r w:rsidRPr="00DB524E">
        <w:rPr>
          <w:color w:val="FF0000"/>
        </w:rPr>
        <w:t xml:space="preserve"> 7.3.1.1.2-24 of [5, TS38.212]</w:t>
      </w:r>
      <w:r w:rsidRPr="0048482F">
        <w:t>.</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r>
        <w:t>Subclause 11.4 of [6, TS 38.213].</w:t>
      </w:r>
    </w:p>
    <w:p w14:paraId="57FB7415" w14:textId="77777777" w:rsidR="00B738C5" w:rsidRPr="00DB524E" w:rsidRDefault="00B738C5" w:rsidP="00B738C5">
      <w:pPr>
        <w:pStyle w:val="TH"/>
        <w:rPr>
          <w:strike/>
          <w:color w:val="FF0000"/>
        </w:rPr>
      </w:pPr>
      <w:r w:rsidRPr="00DB524E">
        <w:rPr>
          <w:strike/>
          <w:color w:val="FF0000"/>
        </w:rPr>
        <w:t>Table 6.2.1-1: SRS request value for aperiodic SRS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030"/>
        <w:gridCol w:w="4029"/>
      </w:tblGrid>
      <w:tr w:rsidR="00B738C5" w:rsidRPr="0048482F" w14:paraId="64B91C50" w14:textId="77777777" w:rsidTr="00910852">
        <w:trPr>
          <w:cantSplit/>
          <w:jc w:val="center"/>
        </w:trPr>
        <w:tc>
          <w:tcPr>
            <w:tcW w:w="0" w:type="auto"/>
            <w:shd w:val="clear" w:color="auto" w:fill="E0E0E0"/>
            <w:vAlign w:val="center"/>
          </w:tcPr>
          <w:p w14:paraId="64A12CE8" w14:textId="77777777" w:rsidR="00B738C5" w:rsidRPr="00DB524E" w:rsidRDefault="00B738C5" w:rsidP="00910852">
            <w:pPr>
              <w:pStyle w:val="TAH"/>
              <w:rPr>
                <w:strike/>
                <w:color w:val="FF0000"/>
                <w:sz w:val="20"/>
              </w:rPr>
            </w:pPr>
            <w:r w:rsidRPr="00DB524E">
              <w:rPr>
                <w:strike/>
                <w:color w:val="FF0000"/>
              </w:rPr>
              <w:t>Value of SRS request field</w:t>
            </w:r>
          </w:p>
        </w:tc>
        <w:tc>
          <w:tcPr>
            <w:tcW w:w="0" w:type="auto"/>
            <w:shd w:val="clear" w:color="auto" w:fill="E0E0E0"/>
            <w:vAlign w:val="center"/>
          </w:tcPr>
          <w:p w14:paraId="1644B3F9" w14:textId="77777777" w:rsidR="00B738C5" w:rsidRPr="00DB524E" w:rsidRDefault="00B738C5" w:rsidP="00910852">
            <w:pPr>
              <w:pStyle w:val="TAH"/>
              <w:rPr>
                <w:strike/>
                <w:color w:val="FF0000"/>
                <w:sz w:val="20"/>
              </w:rPr>
            </w:pPr>
            <w:r w:rsidRPr="00DB524E">
              <w:rPr>
                <w:strike/>
                <w:color w:val="FF0000"/>
              </w:rPr>
              <w:t>Description</w:t>
            </w:r>
          </w:p>
        </w:tc>
      </w:tr>
      <w:tr w:rsidR="00B738C5" w:rsidRPr="0048482F" w14:paraId="127AD950" w14:textId="77777777" w:rsidTr="00910852">
        <w:trPr>
          <w:cantSplit/>
          <w:jc w:val="center"/>
        </w:trPr>
        <w:tc>
          <w:tcPr>
            <w:tcW w:w="0" w:type="auto"/>
            <w:vAlign w:val="center"/>
          </w:tcPr>
          <w:p w14:paraId="2C80267E" w14:textId="77777777" w:rsidR="00B738C5" w:rsidRPr="00DB524E" w:rsidRDefault="00B738C5" w:rsidP="00910852">
            <w:pPr>
              <w:pStyle w:val="TAC"/>
              <w:rPr>
                <w:strike/>
                <w:color w:val="FF0000"/>
              </w:rPr>
            </w:pPr>
            <w:r w:rsidRPr="00DB524E">
              <w:rPr>
                <w:strike/>
                <w:color w:val="FF0000"/>
              </w:rPr>
              <w:t>'00'</w:t>
            </w:r>
          </w:p>
        </w:tc>
        <w:tc>
          <w:tcPr>
            <w:tcW w:w="0" w:type="auto"/>
            <w:vAlign w:val="center"/>
          </w:tcPr>
          <w:p w14:paraId="4B518C29" w14:textId="77777777" w:rsidR="00B738C5" w:rsidRPr="00DB524E" w:rsidRDefault="00B738C5" w:rsidP="00910852">
            <w:pPr>
              <w:pStyle w:val="TAC"/>
              <w:rPr>
                <w:strike/>
                <w:color w:val="FF0000"/>
              </w:rPr>
            </w:pPr>
            <w:r w:rsidRPr="00DB524E">
              <w:rPr>
                <w:strike/>
                <w:color w:val="FF0000"/>
              </w:rPr>
              <w:t>No aperiodic SRS trigger</w:t>
            </w:r>
          </w:p>
        </w:tc>
      </w:tr>
      <w:tr w:rsidR="00B738C5" w:rsidRPr="0048482F" w14:paraId="07C06D6C" w14:textId="77777777" w:rsidTr="00910852">
        <w:trPr>
          <w:cantSplit/>
          <w:jc w:val="center"/>
        </w:trPr>
        <w:tc>
          <w:tcPr>
            <w:tcW w:w="0" w:type="auto"/>
            <w:vAlign w:val="center"/>
          </w:tcPr>
          <w:p w14:paraId="0DEF926E" w14:textId="77777777" w:rsidR="00B738C5" w:rsidRPr="00DB524E" w:rsidRDefault="00B738C5" w:rsidP="00910852">
            <w:pPr>
              <w:pStyle w:val="TAC"/>
              <w:rPr>
                <w:strike/>
                <w:color w:val="FF0000"/>
              </w:rPr>
            </w:pPr>
            <w:r w:rsidRPr="00DB524E">
              <w:rPr>
                <w:strike/>
                <w:color w:val="FF0000"/>
              </w:rPr>
              <w:t>'01'</w:t>
            </w:r>
          </w:p>
        </w:tc>
        <w:tc>
          <w:tcPr>
            <w:tcW w:w="0" w:type="auto"/>
            <w:vAlign w:val="center"/>
          </w:tcPr>
          <w:p w14:paraId="3AD13A90" w14:textId="77777777" w:rsidR="00B738C5" w:rsidRPr="00DB524E" w:rsidRDefault="00B738C5" w:rsidP="00910852">
            <w:pPr>
              <w:pStyle w:val="TAC"/>
              <w:rPr>
                <w:strike/>
                <w:color w:val="FF0000"/>
              </w:rPr>
            </w:pPr>
            <w:r w:rsidRPr="00DB524E">
              <w:rPr>
                <w:strike/>
                <w:color w:val="FF0000"/>
              </w:rPr>
              <w:t>The 1</w:t>
            </w:r>
            <w:r w:rsidRPr="00DB524E">
              <w:rPr>
                <w:strike/>
                <w:color w:val="FF0000"/>
                <w:vertAlign w:val="superscript"/>
              </w:rPr>
              <w:t>st</w:t>
            </w:r>
            <w:r w:rsidRPr="00DB524E">
              <w:rPr>
                <w:strike/>
                <w:color w:val="FF0000"/>
              </w:rPr>
              <w:t xml:space="preserve"> SRS resource set(s) configured by higher layers </w:t>
            </w:r>
          </w:p>
        </w:tc>
      </w:tr>
      <w:tr w:rsidR="00B738C5" w:rsidRPr="0048482F" w14:paraId="1CACE1BF" w14:textId="77777777" w:rsidTr="00910852">
        <w:trPr>
          <w:cantSplit/>
          <w:jc w:val="center"/>
        </w:trPr>
        <w:tc>
          <w:tcPr>
            <w:tcW w:w="0" w:type="auto"/>
            <w:vAlign w:val="center"/>
          </w:tcPr>
          <w:p w14:paraId="7C328A2B" w14:textId="77777777" w:rsidR="00B738C5" w:rsidRPr="00DB524E" w:rsidRDefault="00B738C5" w:rsidP="00910852">
            <w:pPr>
              <w:pStyle w:val="TAC"/>
              <w:rPr>
                <w:strike/>
                <w:color w:val="FF0000"/>
              </w:rPr>
            </w:pPr>
            <w:r w:rsidRPr="00DB524E">
              <w:rPr>
                <w:strike/>
                <w:color w:val="FF0000"/>
              </w:rPr>
              <w:t>'10'</w:t>
            </w:r>
          </w:p>
        </w:tc>
        <w:tc>
          <w:tcPr>
            <w:tcW w:w="0" w:type="auto"/>
            <w:vAlign w:val="center"/>
          </w:tcPr>
          <w:p w14:paraId="39EB8DD4" w14:textId="77777777" w:rsidR="00B738C5" w:rsidRPr="00DB524E" w:rsidRDefault="00B738C5" w:rsidP="00910852">
            <w:pPr>
              <w:pStyle w:val="TAC"/>
              <w:rPr>
                <w:strike/>
                <w:color w:val="FF0000"/>
              </w:rPr>
            </w:pPr>
            <w:r w:rsidRPr="00DB524E">
              <w:rPr>
                <w:strike/>
                <w:color w:val="FF0000"/>
              </w:rPr>
              <w:t>The 2</w:t>
            </w:r>
            <w:r w:rsidRPr="00DB524E">
              <w:rPr>
                <w:strike/>
                <w:color w:val="FF0000"/>
                <w:vertAlign w:val="superscript"/>
              </w:rPr>
              <w:t>nd</w:t>
            </w:r>
            <w:r w:rsidRPr="00DB524E">
              <w:rPr>
                <w:strike/>
                <w:color w:val="FF0000"/>
              </w:rPr>
              <w:t xml:space="preserve"> SRS resource set(s) configured by higher layers</w:t>
            </w:r>
          </w:p>
        </w:tc>
      </w:tr>
      <w:tr w:rsidR="00B738C5" w:rsidRPr="0048482F" w14:paraId="4F0AE5A4" w14:textId="77777777" w:rsidTr="00910852">
        <w:trPr>
          <w:cantSplit/>
          <w:jc w:val="center"/>
        </w:trPr>
        <w:tc>
          <w:tcPr>
            <w:tcW w:w="0" w:type="auto"/>
            <w:vAlign w:val="center"/>
          </w:tcPr>
          <w:p w14:paraId="2F5D2D29" w14:textId="77777777" w:rsidR="00B738C5" w:rsidRPr="00DB524E" w:rsidRDefault="00B738C5" w:rsidP="00910852">
            <w:pPr>
              <w:pStyle w:val="TAC"/>
              <w:rPr>
                <w:strike/>
                <w:color w:val="FF0000"/>
              </w:rPr>
            </w:pPr>
            <w:r w:rsidRPr="00DB524E">
              <w:rPr>
                <w:strike/>
                <w:color w:val="FF0000"/>
              </w:rPr>
              <w:t>'11'</w:t>
            </w:r>
          </w:p>
        </w:tc>
        <w:tc>
          <w:tcPr>
            <w:tcW w:w="0" w:type="auto"/>
            <w:vAlign w:val="center"/>
          </w:tcPr>
          <w:p w14:paraId="249A5065" w14:textId="77777777" w:rsidR="00B738C5" w:rsidRPr="00DB524E" w:rsidRDefault="00B738C5" w:rsidP="00910852">
            <w:pPr>
              <w:pStyle w:val="TAC"/>
              <w:rPr>
                <w:strike/>
                <w:color w:val="FF0000"/>
              </w:rPr>
            </w:pPr>
            <w:r w:rsidRPr="00DB524E">
              <w:rPr>
                <w:strike/>
                <w:color w:val="FF0000"/>
              </w:rPr>
              <w:t>The 3</w:t>
            </w:r>
            <w:r w:rsidRPr="00DB524E">
              <w:rPr>
                <w:strike/>
                <w:color w:val="FF0000"/>
                <w:vertAlign w:val="superscript"/>
              </w:rPr>
              <w:t>rd</w:t>
            </w:r>
            <w:r w:rsidRPr="00DB524E">
              <w:rPr>
                <w:strike/>
                <w:color w:val="FF0000"/>
              </w:rPr>
              <w:t xml:space="preserve"> SRS resource set(s) configured by higher layers</w:t>
            </w:r>
          </w:p>
        </w:tc>
      </w:tr>
    </w:tbl>
    <w:p w14:paraId="7018B232" w14:textId="77777777" w:rsidR="00B738C5" w:rsidRDefault="00B738C5" w:rsidP="00B738C5"/>
    <w:p w14:paraId="7E791E66" w14:textId="77777777" w:rsidR="00B738C5" w:rsidRDefault="00B738C5" w:rsidP="00B738C5">
      <w:r w:rsidRPr="0048482F">
        <w:t xml:space="preserve">If a UE is configured with the higher layer parameter </w:t>
      </w:r>
      <w:r w:rsidRPr="0048482F">
        <w:rPr>
          <w:i/>
        </w:rPr>
        <w:t>SRS-AssocCSIRS</w:t>
      </w:r>
      <w:r w:rsidRPr="0048482F">
        <w:t xml:space="preserve"> and with the higher layer parameter </w:t>
      </w:r>
      <w:r w:rsidRPr="0048482F">
        <w:rPr>
          <w:i/>
        </w:rPr>
        <w:t>ulTxConfig</w:t>
      </w:r>
      <w:r w:rsidRPr="0048482F">
        <w:t xml:space="preserve"> set to </w:t>
      </w:r>
      <w:r>
        <w:t>'</w:t>
      </w:r>
      <w:r w:rsidRPr="0048482F">
        <w:t>NonCodebook</w:t>
      </w:r>
      <w:r>
        <w:t>'</w:t>
      </w:r>
      <w:r w:rsidRPr="0048482F">
        <w:t xml:space="preserve">, the UE may be configured with a NZP CSI-RS resource where a </w:t>
      </w:r>
      <w:r w:rsidRPr="0048482F">
        <w:rPr>
          <w:i/>
        </w:rPr>
        <w:t>NZP-CSI-RS-ResourceConfigId</w:t>
      </w:r>
      <w:r w:rsidRPr="0048482F">
        <w:t xml:space="preserve"> is associated with an SRS resource set.</w:t>
      </w:r>
    </w:p>
    <w:p w14:paraId="0790212D" w14:textId="07C7B2C8" w:rsidR="00B738C5" w:rsidRDefault="00B738C5" w:rsidP="00B738C5">
      <w:pPr>
        <w:rPr>
          <w:highlight w:val="yellow"/>
        </w:rPr>
      </w:pPr>
      <w:r w:rsidRPr="00396412">
        <w:rPr>
          <w:highlight w:val="yellow"/>
        </w:rPr>
        <w:t>&gt;&gt;&gt; End text proposal &gt;&gt;&gt;</w:t>
      </w:r>
    </w:p>
    <w:p w14:paraId="1322595B" w14:textId="77777777" w:rsidR="00862BCA" w:rsidRDefault="00862BCA" w:rsidP="00B738C5">
      <w:bookmarkStart w:id="19" w:name="_GoBack"/>
      <w:bookmarkEnd w:id="19"/>
    </w:p>
    <w:p w14:paraId="411A179F" w14:textId="0231B3E9" w:rsidR="00067497" w:rsidRDefault="00067497" w:rsidP="00B738C5">
      <w:r>
        <w:t>While no text proposal is made here, a similar changes may be warranted in 38.212 and 38.213 Section 11.4 pertaining to triggering aperiodic SRS resource set(s) with DCI format 2_3. Hence we propose</w:t>
      </w:r>
    </w:p>
    <w:p w14:paraId="0920751A" w14:textId="3B05A2FC" w:rsidR="00067497" w:rsidRPr="00B738C5" w:rsidRDefault="00067497" w:rsidP="00067497">
      <w:pPr>
        <w:pStyle w:val="Proposal"/>
      </w:pPr>
      <w:bookmarkStart w:id="20" w:name="_Toc510109278"/>
      <w:bookmarkStart w:id="21" w:name="_Toc510109383"/>
      <w:bookmarkStart w:id="22" w:name="_Toc510109453"/>
      <w:bookmarkStart w:id="23" w:name="_Toc510109793"/>
      <w:bookmarkStart w:id="24" w:name="_Toc510779038"/>
      <w:r>
        <w:t>Further discuss aligning 38.212, 38.213, and 38.331 for triggering of aperiodic SRS resource set(s) with DCI format 2_3.</w:t>
      </w:r>
      <w:bookmarkEnd w:id="20"/>
      <w:bookmarkEnd w:id="21"/>
      <w:bookmarkEnd w:id="22"/>
      <w:bookmarkEnd w:id="23"/>
      <w:bookmarkEnd w:id="24"/>
    </w:p>
    <w:p w14:paraId="690FEF79" w14:textId="0DF5EAE9" w:rsidR="00B2442C" w:rsidRDefault="00B2442C" w:rsidP="00B2442C">
      <w:pPr>
        <w:pStyle w:val="Heading2"/>
      </w:pPr>
      <w:r w:rsidRPr="00B2442C">
        <w:t>Configuration of SRS set to support reciprocity</w:t>
      </w:r>
      <w:r w:rsidR="003C2BEB">
        <w:t>-</w:t>
      </w:r>
      <w:r w:rsidRPr="00B2442C">
        <w:t xml:space="preserve">based DL </w:t>
      </w:r>
      <w:r w:rsidR="004A350D">
        <w:t>precoding</w:t>
      </w:r>
    </w:p>
    <w:p w14:paraId="05F11534" w14:textId="4F052039" w:rsidR="0044675E" w:rsidRPr="00B2442C" w:rsidRDefault="0044675E" w:rsidP="00B91545">
      <w:pPr>
        <w:overflowPunct/>
        <w:autoSpaceDE/>
        <w:autoSpaceDN/>
        <w:adjustRightInd/>
        <w:spacing w:after="0"/>
        <w:textAlignment w:val="auto"/>
      </w:pPr>
      <w:r w:rsidRPr="0048482F">
        <w:rPr>
          <w:rFonts w:eastAsia="MS Mincho"/>
          <w:color w:val="000000"/>
          <w:lang w:val="en-US" w:eastAsia="ja-JP"/>
        </w:rPr>
        <w:t xml:space="preserve">The </w:t>
      </w:r>
      <w:r w:rsidRPr="0048482F">
        <w:rPr>
          <w:color w:val="000000"/>
        </w:rPr>
        <w:t xml:space="preserve">UE can be configured with one or more Sounding Reference Symbol (SRS) resource sets as configured by the higher layer parameter </w:t>
      </w:r>
      <w:r w:rsidRPr="0048482F">
        <w:rPr>
          <w:i/>
          <w:color w:val="000000"/>
        </w:rPr>
        <w:t>SRS-ResourceSetConfig</w:t>
      </w:r>
      <w:r w:rsidR="003C2BEB">
        <w:rPr>
          <w:rFonts w:eastAsia="MS Mincho"/>
          <w:color w:val="000000"/>
          <w:lang w:val="en-US" w:eastAsia="ja-JP"/>
        </w:rPr>
        <w:t>.</w:t>
      </w:r>
      <w:r w:rsidR="003C2BEB" w:rsidRPr="0048482F">
        <w:rPr>
          <w:color w:val="000000"/>
        </w:rPr>
        <w:t xml:space="preserve"> </w:t>
      </w:r>
      <w:r w:rsidRPr="0048482F">
        <w:rPr>
          <w:color w:val="000000"/>
        </w:rPr>
        <w:t xml:space="preserve">The SRS resource set applicability is configured by the higher layer parameter </w:t>
      </w:r>
      <w:r w:rsidRPr="0048482F">
        <w:rPr>
          <w:i/>
          <w:color w:val="000000"/>
        </w:rPr>
        <w:t>SRS-SetUse</w:t>
      </w:r>
      <w:r w:rsidR="00B738C5">
        <w:rPr>
          <w:color w:val="000000"/>
        </w:rPr>
        <w:t xml:space="preserve"> </w:t>
      </w:r>
      <w:r w:rsidR="00862BCA">
        <w:rPr>
          <w:color w:val="000000"/>
        </w:rPr>
        <w:fldChar w:fldCharType="begin"/>
      </w:r>
      <w:r w:rsidR="00862BCA">
        <w:rPr>
          <w:color w:val="000000"/>
        </w:rPr>
        <w:instrText xml:space="preserve"> REF _Ref510109421 \r \h </w:instrText>
      </w:r>
      <w:r w:rsidR="00862BCA">
        <w:rPr>
          <w:color w:val="000000"/>
        </w:rPr>
      </w:r>
      <w:r w:rsidR="00862BCA">
        <w:rPr>
          <w:color w:val="000000"/>
        </w:rPr>
        <w:fldChar w:fldCharType="separate"/>
      </w:r>
      <w:r w:rsidR="00862BCA">
        <w:rPr>
          <w:color w:val="000000"/>
        </w:rPr>
        <w:t>[3]</w:t>
      </w:r>
      <w:r w:rsidR="00862BCA">
        <w:rPr>
          <w:color w:val="000000"/>
        </w:rPr>
        <w:fldChar w:fldCharType="end"/>
      </w:r>
      <w:r w:rsidRPr="0048482F">
        <w:rPr>
          <w:i/>
          <w:color w:val="000000"/>
        </w:rPr>
        <w:t>.</w:t>
      </w:r>
      <w:r w:rsidRPr="00B873F3">
        <w:rPr>
          <w:color w:val="000000"/>
        </w:rPr>
        <w:t xml:space="preserve"> </w:t>
      </w:r>
      <w:r>
        <w:t xml:space="preserve">The </w:t>
      </w:r>
      <w:r w:rsidR="002B65B8">
        <w:t>value</w:t>
      </w:r>
      <w:r w:rsidR="00F6408B">
        <w:t>s</w:t>
      </w:r>
      <w:r w:rsidR="002B65B8">
        <w:t xml:space="preserve"> </w:t>
      </w:r>
      <w:r w:rsidR="00F6408B">
        <w:t xml:space="preserve">that </w:t>
      </w:r>
      <w:r w:rsidR="002B65B8">
        <w:t xml:space="preserve">the </w:t>
      </w:r>
      <w:r>
        <w:t xml:space="preserve">parameter </w:t>
      </w:r>
      <w:r w:rsidRPr="0044675E">
        <w:rPr>
          <w:i/>
        </w:rPr>
        <w:t>SRS-SetUse</w:t>
      </w:r>
      <w:r>
        <w:t xml:space="preserve"> </w:t>
      </w:r>
      <w:r w:rsidR="00F6408B">
        <w:t xml:space="preserve">can take are </w:t>
      </w:r>
      <w:r w:rsidR="00022AE7">
        <w:t>‘</w:t>
      </w:r>
      <w:r w:rsidRPr="006166DE">
        <w:t>beamManagement</w:t>
      </w:r>
      <w:r w:rsidR="00022AE7">
        <w:t>’</w:t>
      </w:r>
      <w:r w:rsidRPr="006166DE">
        <w:t xml:space="preserve">, </w:t>
      </w:r>
      <w:r w:rsidR="00022AE7">
        <w:t>‘</w:t>
      </w:r>
      <w:r w:rsidRPr="006166DE">
        <w:t>codebook</w:t>
      </w:r>
      <w:r w:rsidR="00022AE7">
        <w:t>’</w:t>
      </w:r>
      <w:r w:rsidRPr="006166DE">
        <w:t xml:space="preserve">, </w:t>
      </w:r>
      <w:r w:rsidR="00022AE7">
        <w:lastRenderedPageBreak/>
        <w:t>‘</w:t>
      </w:r>
      <w:r w:rsidRPr="006166DE">
        <w:t>nonCodebook</w:t>
      </w:r>
      <w:r w:rsidR="00022AE7">
        <w:t>’</w:t>
      </w:r>
      <w:r w:rsidRPr="006166DE">
        <w:t xml:space="preserve">, </w:t>
      </w:r>
      <w:r w:rsidR="00022AE7">
        <w:t>‘</w:t>
      </w:r>
      <w:r>
        <w:t>A</w:t>
      </w:r>
      <w:r w:rsidRPr="006166DE">
        <w:t>ntennaSwitching</w:t>
      </w:r>
      <w:r w:rsidR="00022AE7">
        <w:t xml:space="preserve">’ </w:t>
      </w:r>
      <w:r w:rsidR="00862BCA">
        <w:fldChar w:fldCharType="begin"/>
      </w:r>
      <w:r w:rsidR="00862BCA">
        <w:instrText xml:space="preserve"> REF _Ref506553566 \r \h </w:instrText>
      </w:r>
      <w:r w:rsidR="00862BCA">
        <w:fldChar w:fldCharType="separate"/>
      </w:r>
      <w:r w:rsidR="00862BCA">
        <w:t>[2]</w:t>
      </w:r>
      <w:r w:rsidR="00862BCA">
        <w:fldChar w:fldCharType="end"/>
      </w:r>
      <w:r>
        <w:t>.</w:t>
      </w:r>
      <w:r w:rsidR="00686B88">
        <w:t xml:space="preserve"> Each of th</w:t>
      </w:r>
      <w:r w:rsidR="00C632A8">
        <w:t>e</w:t>
      </w:r>
      <w:r w:rsidR="00686B88">
        <w:t>s</w:t>
      </w:r>
      <w:r w:rsidR="00C632A8">
        <w:t>e</w:t>
      </w:r>
      <w:r w:rsidR="00686B88">
        <w:t xml:space="preserve"> values imposes a number of restriction</w:t>
      </w:r>
      <w:r w:rsidR="00954EC1">
        <w:t>s</w:t>
      </w:r>
      <w:r w:rsidR="00686B88">
        <w:t xml:space="preserve"> on the configuration and triggering of the SRS resources comprising the set.</w:t>
      </w:r>
    </w:p>
    <w:p w14:paraId="01D4D7CF" w14:textId="77777777" w:rsidR="003C2BEB" w:rsidRDefault="003C2BEB" w:rsidP="00B91545">
      <w:pPr>
        <w:overflowPunct/>
        <w:autoSpaceDE/>
        <w:autoSpaceDN/>
        <w:adjustRightInd/>
        <w:spacing w:after="0"/>
        <w:textAlignment w:val="auto"/>
      </w:pPr>
    </w:p>
    <w:p w14:paraId="11B8A269" w14:textId="3024D606" w:rsidR="0044675E" w:rsidRDefault="0044675E" w:rsidP="00B91545">
      <w:pPr>
        <w:overflowPunct/>
        <w:autoSpaceDE/>
        <w:autoSpaceDN/>
        <w:adjustRightInd/>
        <w:spacing w:after="0"/>
        <w:textAlignment w:val="auto"/>
      </w:pPr>
      <w:r>
        <w:t xml:space="preserve">An important use case for </w:t>
      </w:r>
      <w:r w:rsidR="004A350D">
        <w:t xml:space="preserve">which </w:t>
      </w:r>
      <w:r w:rsidR="00A40DF0">
        <w:t xml:space="preserve">NR </w:t>
      </w:r>
      <w:r>
        <w:t xml:space="preserve">SRS </w:t>
      </w:r>
      <w:r w:rsidR="004A350D">
        <w:t xml:space="preserve">has been designed for </w:t>
      </w:r>
      <w:r>
        <w:t xml:space="preserve">is </w:t>
      </w:r>
      <w:r w:rsidR="004A350D">
        <w:t>to support reciprocity-based design of</w:t>
      </w:r>
      <w:r>
        <w:t xml:space="preserve"> </w:t>
      </w:r>
      <w:r w:rsidR="004A350D">
        <w:t xml:space="preserve">PDSCH precoder using the UL channel estimates. This use case is of particular relevance </w:t>
      </w:r>
      <w:r w:rsidR="00A40DF0">
        <w:t xml:space="preserve">to the upcoming </w:t>
      </w:r>
      <w:r w:rsidR="004A350D">
        <w:t xml:space="preserve">massive MIMO gNB </w:t>
      </w:r>
      <w:r w:rsidR="00A40DF0">
        <w:t xml:space="preserve">deployments in </w:t>
      </w:r>
      <w:r w:rsidR="004A350D">
        <w:t>the NR mid-</w:t>
      </w:r>
      <w:r w:rsidR="00022AE7">
        <w:t xml:space="preserve"> and high-</w:t>
      </w:r>
      <w:r w:rsidR="004A350D">
        <w:t xml:space="preserve">frequency bands operating in TDD mode. </w:t>
      </w:r>
      <w:r w:rsidR="00B91545">
        <w:t>In order to exploit the full potential of reciprocity-based DL precoding</w:t>
      </w:r>
      <w:r w:rsidR="005E0E76">
        <w:t xml:space="preserve">, </w:t>
      </w:r>
      <w:r w:rsidR="00E3666F">
        <w:t xml:space="preserve">the </w:t>
      </w:r>
      <w:r w:rsidR="005E0E76">
        <w:t xml:space="preserve">sounding procedure has to support </w:t>
      </w:r>
      <w:r w:rsidR="00A40DF0">
        <w:t xml:space="preserve">estimation of the </w:t>
      </w:r>
      <w:r w:rsidR="005E0E76">
        <w:t xml:space="preserve">full </w:t>
      </w:r>
      <w:r w:rsidR="00A40DF0">
        <w:t xml:space="preserve">MIMO </w:t>
      </w:r>
      <w:r w:rsidR="00025F5A">
        <w:t xml:space="preserve">channel </w:t>
      </w:r>
      <w:r w:rsidR="00A40DF0">
        <w:t>mat</w:t>
      </w:r>
      <w:r w:rsidR="00022AE7">
        <w:t>rix. The SRS resource set usage ‘A</w:t>
      </w:r>
      <w:r w:rsidR="00022AE7" w:rsidRPr="006166DE">
        <w:t>ntennaSwitching</w:t>
      </w:r>
      <w:r w:rsidR="00022AE7">
        <w:t>’ has been specified to address exactly this use case</w:t>
      </w:r>
      <w:r w:rsidR="00347E78">
        <w:t>, but only</w:t>
      </w:r>
      <w:r w:rsidR="00022AE7">
        <w:t xml:space="preserve"> for</w:t>
      </w:r>
      <w:r w:rsidR="003157B7">
        <w:t xml:space="preserve"> three </w:t>
      </w:r>
      <w:r w:rsidR="00686B88">
        <w:t>specific</w:t>
      </w:r>
      <w:r w:rsidR="00347E78">
        <w:t xml:space="preserve"> UE</w:t>
      </w:r>
      <w:r w:rsidR="003157B7">
        <w:t xml:space="preserve"> </w:t>
      </w:r>
      <w:r w:rsidR="00022AE7">
        <w:t>capabilities</w:t>
      </w:r>
      <w:r w:rsidR="00025F5A">
        <w:t>:</w:t>
      </w:r>
      <w:r w:rsidR="003157B7">
        <w:t xml:space="preserve"> </w:t>
      </w:r>
      <w:r w:rsidR="00022AE7">
        <w:t xml:space="preserve">1T2R, 2T4R, and 1T4R. However, no </w:t>
      </w:r>
      <w:r w:rsidR="00347E78">
        <w:t>SRS resource set usage has been explicitly specified to support reciprocity-based DL precoding for UEs with balanced numbers of TX and RX chains</w:t>
      </w:r>
      <w:r w:rsidR="00D84C94">
        <w:t>, e.g.</w:t>
      </w:r>
      <w:r w:rsidR="00DD6875">
        <w:t>,</w:t>
      </w:r>
      <w:r w:rsidR="00D84C94">
        <w:t xml:space="preserve"> 4T4R</w:t>
      </w:r>
      <w:r w:rsidR="00A97288">
        <w:t xml:space="preserve"> or 2T2R</w:t>
      </w:r>
      <w:r w:rsidR="00347E78">
        <w:t xml:space="preserve">. </w:t>
      </w:r>
      <w:r w:rsidR="00D84C94">
        <w:t>This is a relevant UE capability as codebook-based and non-codebook</w:t>
      </w:r>
      <w:r w:rsidR="00954EC1">
        <w:t>-</w:t>
      </w:r>
      <w:r w:rsidR="00D84C94">
        <w:t xml:space="preserve">based precoding of PUSCH has been specified using up to four antenna ports </w:t>
      </w:r>
      <w:r w:rsidR="00B738C5">
        <w:fldChar w:fldCharType="begin"/>
      </w:r>
      <w:r w:rsidR="00B738C5">
        <w:instrText xml:space="preserve"> REF _Ref510106276 \r \h </w:instrText>
      </w:r>
      <w:r w:rsidR="00B738C5">
        <w:fldChar w:fldCharType="separate"/>
      </w:r>
      <w:r w:rsidR="00862BCA">
        <w:t>[4]</w:t>
      </w:r>
      <w:r w:rsidR="00B738C5">
        <w:fldChar w:fldCharType="end"/>
      </w:r>
      <w:r w:rsidR="00E3666F">
        <w:t>; furthermore,</w:t>
      </w:r>
      <w:r w:rsidR="00F27975">
        <w:t xml:space="preserve"> four </w:t>
      </w:r>
      <w:r w:rsidR="00D84C94">
        <w:t>R</w:t>
      </w:r>
      <w:r w:rsidR="00F27975">
        <w:t>X</w:t>
      </w:r>
      <w:r w:rsidR="00D84C94">
        <w:t xml:space="preserve"> is</w:t>
      </w:r>
      <w:r w:rsidR="003157B7">
        <w:t xml:space="preserve"> a</w:t>
      </w:r>
      <w:r w:rsidR="00D84C94">
        <w:t xml:space="preserve"> mandatory </w:t>
      </w:r>
      <w:r w:rsidR="00F27975">
        <w:t xml:space="preserve">UE capability </w:t>
      </w:r>
      <w:r w:rsidR="00025F5A">
        <w:t>for</w:t>
      </w:r>
      <w:r w:rsidR="00F27975">
        <w:t xml:space="preserve"> </w:t>
      </w:r>
      <w:r w:rsidR="00A2004D">
        <w:t>several</w:t>
      </w:r>
      <w:r w:rsidR="00F27975">
        <w:t xml:space="preserve"> </w:t>
      </w:r>
      <w:r w:rsidR="00025F5A">
        <w:t xml:space="preserve">frequency </w:t>
      </w:r>
      <w:r w:rsidR="00F27975">
        <w:t xml:space="preserve">bands. </w:t>
      </w:r>
      <w:r w:rsidR="008900D3">
        <w:t>Such UEs will be capable of sounding their</w:t>
      </w:r>
      <w:r w:rsidR="00C9313C">
        <w:t xml:space="preserve"> two or four</w:t>
      </w:r>
      <w:r w:rsidR="008900D3">
        <w:t xml:space="preserve"> antennas using one 2-port or 4-port SRS resource</w:t>
      </w:r>
      <w:r w:rsidR="00C9313C">
        <w:t>, respectively</w:t>
      </w:r>
      <w:r w:rsidR="008900D3">
        <w:t>.</w:t>
      </w:r>
      <w:r w:rsidR="00C9313C">
        <w:t xml:space="preserve"> </w:t>
      </w:r>
      <w:r w:rsidR="00C9313C">
        <w:rPr>
          <w:color w:val="000000"/>
        </w:rPr>
        <w:t xml:space="preserve">For the case of </w:t>
      </w:r>
      <w:r w:rsidR="00C9313C" w:rsidRPr="0048482F">
        <w:rPr>
          <w:i/>
          <w:color w:val="000000"/>
        </w:rPr>
        <w:t xml:space="preserve">SRS-SetUse </w:t>
      </w:r>
      <w:r w:rsidR="00C9313C">
        <w:rPr>
          <w:color w:val="000000"/>
        </w:rPr>
        <w:t xml:space="preserve">set to </w:t>
      </w:r>
      <w:r w:rsidR="00C9313C">
        <w:t>‘A</w:t>
      </w:r>
      <w:r w:rsidR="00C9313C" w:rsidRPr="006166DE">
        <w:t>ntennaSwitching</w:t>
      </w:r>
      <w:r w:rsidR="00C9313C">
        <w:t xml:space="preserve">’, </w:t>
      </w:r>
      <w:r w:rsidR="00580144">
        <w:t>an</w:t>
      </w:r>
      <w:r w:rsidR="00C9313C">
        <w:t xml:space="preserve"> </w:t>
      </w:r>
      <w:r w:rsidR="008900D3">
        <w:t xml:space="preserve">SRS resource set </w:t>
      </w:r>
      <w:r w:rsidR="00580144">
        <w:t>contains</w:t>
      </w:r>
      <w:r w:rsidR="00C9313C">
        <w:t xml:space="preserve"> at least two SRS resources with at least one symbol guard period, a configuration which is unnecessary when T=R.</w:t>
      </w:r>
      <w:r w:rsidR="00580144">
        <w:t xml:space="preserve"> Moreover, with this configuration, the gNB expects that the UE switches antennas between the two resources.</w:t>
      </w:r>
    </w:p>
    <w:p w14:paraId="26D9CB97" w14:textId="77777777" w:rsidR="00DD6875" w:rsidRDefault="00DD6875" w:rsidP="00B91545">
      <w:pPr>
        <w:overflowPunct/>
        <w:autoSpaceDE/>
        <w:autoSpaceDN/>
        <w:adjustRightInd/>
        <w:spacing w:after="0"/>
        <w:textAlignment w:val="auto"/>
      </w:pPr>
    </w:p>
    <w:p w14:paraId="26C4994A" w14:textId="0FAA8A89" w:rsidR="00025F5A" w:rsidRDefault="009E1087" w:rsidP="00B91545">
      <w:pPr>
        <w:rPr>
          <w:color w:val="000000"/>
        </w:rPr>
      </w:pPr>
      <w:r>
        <w:rPr>
          <w:color w:val="000000"/>
        </w:rPr>
        <w:t>In principle, the SRS resource set usages designed for UL MIMO</w:t>
      </w:r>
      <w:r w:rsidR="005954EC">
        <w:rPr>
          <w:color w:val="000000"/>
        </w:rPr>
        <w:t xml:space="preserve">, i.e., </w:t>
      </w:r>
      <w:r w:rsidR="005954EC">
        <w:t>‘</w:t>
      </w:r>
      <w:r w:rsidR="005954EC" w:rsidRPr="006166DE">
        <w:t>codebook</w:t>
      </w:r>
      <w:r w:rsidR="005954EC">
        <w:t>’ or ‘</w:t>
      </w:r>
      <w:r w:rsidR="005954EC" w:rsidRPr="006166DE">
        <w:t>nonCodebook</w:t>
      </w:r>
      <w:r w:rsidR="005954EC">
        <w:t>’</w:t>
      </w:r>
      <w:r>
        <w:rPr>
          <w:color w:val="000000"/>
        </w:rPr>
        <w:t xml:space="preserve"> </w:t>
      </w:r>
      <w:r w:rsidR="00410C99">
        <w:rPr>
          <w:color w:val="000000"/>
        </w:rPr>
        <w:t>could</w:t>
      </w:r>
      <w:r>
        <w:rPr>
          <w:color w:val="000000"/>
        </w:rPr>
        <w:t xml:space="preserve"> be reused for the use case of reciprocity-based DL precoding. </w:t>
      </w:r>
      <w:r w:rsidR="005954EC">
        <w:rPr>
          <w:color w:val="000000"/>
        </w:rPr>
        <w:t xml:space="preserve">The problem is that in both of those usages, </w:t>
      </w:r>
      <w:r w:rsidR="00A97288">
        <w:rPr>
          <w:color w:val="000000"/>
        </w:rPr>
        <w:t xml:space="preserve">the current specifications restrict </w:t>
      </w:r>
      <w:r w:rsidR="005954EC" w:rsidRPr="0048482F">
        <w:rPr>
          <w:color w:val="000000"/>
        </w:rPr>
        <w:t xml:space="preserve">the UE </w:t>
      </w:r>
      <w:r w:rsidR="00A97288">
        <w:rPr>
          <w:color w:val="000000"/>
        </w:rPr>
        <w:t>to</w:t>
      </w:r>
      <w:r w:rsidR="005954EC" w:rsidRPr="0048482F">
        <w:rPr>
          <w:color w:val="000000"/>
        </w:rPr>
        <w:t xml:space="preserve"> be configured with </w:t>
      </w:r>
      <w:r w:rsidR="00A2004D">
        <w:rPr>
          <w:color w:val="000000"/>
        </w:rPr>
        <w:t xml:space="preserve">only one </w:t>
      </w:r>
      <w:r w:rsidR="005954EC" w:rsidRPr="0048482F">
        <w:rPr>
          <w:color w:val="000000"/>
        </w:rPr>
        <w:t>SRS resource</w:t>
      </w:r>
      <w:r w:rsidR="005954EC">
        <w:rPr>
          <w:color w:val="000000"/>
        </w:rPr>
        <w:t xml:space="preserve"> set</w:t>
      </w:r>
      <w:r w:rsidR="00A97288">
        <w:rPr>
          <w:color w:val="000000"/>
        </w:rPr>
        <w:t>. Moreover,</w:t>
      </w:r>
      <w:r w:rsidR="005954EC">
        <w:rPr>
          <w:color w:val="000000"/>
        </w:rPr>
        <w:t xml:space="preserve"> the configurations suited for UL MIMO </w:t>
      </w:r>
      <w:r w:rsidR="00676C78">
        <w:rPr>
          <w:color w:val="000000"/>
        </w:rPr>
        <w:t xml:space="preserve">can be quite different from the ones supporting </w:t>
      </w:r>
      <w:r w:rsidR="005954EC">
        <w:rPr>
          <w:color w:val="000000"/>
        </w:rPr>
        <w:t xml:space="preserve">full channel acquisition </w:t>
      </w:r>
      <w:r w:rsidR="00676C78">
        <w:rPr>
          <w:color w:val="000000"/>
        </w:rPr>
        <w:t>for reciprocity-based DL precoding</w:t>
      </w:r>
      <w:r w:rsidR="005954EC">
        <w:rPr>
          <w:color w:val="000000"/>
        </w:rPr>
        <w:t xml:space="preserve">. Specifically, </w:t>
      </w:r>
      <w:r w:rsidR="007A5443">
        <w:rPr>
          <w:color w:val="000000"/>
        </w:rPr>
        <w:t>for the case of</w:t>
      </w:r>
      <w:r>
        <w:rPr>
          <w:color w:val="000000"/>
        </w:rPr>
        <w:t xml:space="preserve"> </w:t>
      </w:r>
      <w:r w:rsidRPr="0048482F">
        <w:rPr>
          <w:i/>
          <w:color w:val="000000"/>
        </w:rPr>
        <w:t xml:space="preserve">SRS-SetUse </w:t>
      </w:r>
      <w:r w:rsidR="007A5443">
        <w:rPr>
          <w:color w:val="000000"/>
        </w:rPr>
        <w:t>set</w:t>
      </w:r>
      <w:r>
        <w:rPr>
          <w:color w:val="000000"/>
        </w:rPr>
        <w:t xml:space="preserve"> to </w:t>
      </w:r>
      <w:r>
        <w:t>‘</w:t>
      </w:r>
      <w:r w:rsidRPr="006166DE">
        <w:t>nonCodebook</w:t>
      </w:r>
      <w:r>
        <w:t xml:space="preserve">’, </w:t>
      </w:r>
      <w:r w:rsidRPr="00F65528">
        <w:rPr>
          <w:lang w:eastAsia="x-none"/>
        </w:rPr>
        <w:t>only one SRS port per SRS resource can be configured</w:t>
      </w:r>
      <w:r w:rsidR="00DC29BC">
        <w:rPr>
          <w:lang w:eastAsia="x-none"/>
        </w:rPr>
        <w:t>. That is</w:t>
      </w:r>
      <w:r>
        <w:rPr>
          <w:lang w:eastAsia="x-none"/>
        </w:rPr>
        <w:t>,</w:t>
      </w:r>
      <w:r w:rsidRPr="00F65528">
        <w:rPr>
          <w:lang w:eastAsia="x-none"/>
        </w:rPr>
        <w:t xml:space="preserve"> </w:t>
      </w:r>
      <w:r>
        <w:t xml:space="preserve">the SRS resources are </w:t>
      </w:r>
      <w:r w:rsidR="00A97288">
        <w:t xml:space="preserve">typically </w:t>
      </w:r>
      <w:r>
        <w:t>precoded</w:t>
      </w:r>
      <w:r w:rsidR="00DC29BC">
        <w:t xml:space="preserve"> and this precoding is transparent to </w:t>
      </w:r>
      <w:r w:rsidR="00A97288">
        <w:t xml:space="preserve">the </w:t>
      </w:r>
      <w:r w:rsidR="00DC29BC">
        <w:t>gNB.</w:t>
      </w:r>
      <w:r w:rsidR="005954EC">
        <w:t xml:space="preserve"> </w:t>
      </w:r>
      <w:r w:rsidR="0068517E">
        <w:t>Furthermore</w:t>
      </w:r>
      <w:r w:rsidR="005954EC">
        <w:t xml:space="preserve">, SRI </w:t>
      </w:r>
      <w:r w:rsidR="00DC29BC">
        <w:t>determines</w:t>
      </w:r>
      <w:r w:rsidR="005954EC">
        <w:t xml:space="preserve"> the number of </w:t>
      </w:r>
      <w:r w:rsidR="00DC29BC">
        <w:t>PUSCH</w:t>
      </w:r>
      <w:r w:rsidR="005954EC">
        <w:t xml:space="preserve"> </w:t>
      </w:r>
      <w:r w:rsidR="00DC29BC">
        <w:t>layers.</w:t>
      </w:r>
    </w:p>
    <w:p w14:paraId="4CB2064A" w14:textId="1B5CCF31" w:rsidR="0068517E" w:rsidRDefault="00E3666F" w:rsidP="00B91545">
      <w:r>
        <w:rPr>
          <w:color w:val="000000"/>
        </w:rPr>
        <w:t>For the case of</w:t>
      </w:r>
      <w:r w:rsidR="00D97202">
        <w:rPr>
          <w:color w:val="000000"/>
        </w:rPr>
        <w:t xml:space="preserve"> </w:t>
      </w:r>
      <w:r w:rsidR="00D97202" w:rsidRPr="0048482F">
        <w:rPr>
          <w:i/>
          <w:color w:val="000000"/>
        </w:rPr>
        <w:t xml:space="preserve">SRS-SetUse </w:t>
      </w:r>
      <w:r w:rsidR="00D97202">
        <w:rPr>
          <w:color w:val="000000"/>
        </w:rPr>
        <w:t xml:space="preserve">set to </w:t>
      </w:r>
      <w:r w:rsidR="00D97202">
        <w:t>‘</w:t>
      </w:r>
      <w:r w:rsidR="00D97202" w:rsidRPr="006166DE">
        <w:t>Codebook</w:t>
      </w:r>
      <w:r w:rsidR="00D97202">
        <w:t>’</w:t>
      </w:r>
      <w:r w:rsidR="00A2004D">
        <w:t>,</w:t>
      </w:r>
      <w:r w:rsidR="00417D75">
        <w:t xml:space="preserve"> a separate SRS port is configured per antenna port</w:t>
      </w:r>
      <w:r w:rsidR="00A2004D">
        <w:t xml:space="preserve"> and all of them are mapped to the same SRS resource.</w:t>
      </w:r>
      <w:r w:rsidR="00417D75">
        <w:t xml:space="preserve"> </w:t>
      </w:r>
      <w:r w:rsidR="00A2004D">
        <w:t>S</w:t>
      </w:r>
      <w:r w:rsidR="00417D75">
        <w:t>o</w:t>
      </w:r>
      <w:r w:rsidR="00A2004D">
        <w:t xml:space="preserve">, </w:t>
      </w:r>
      <w:r w:rsidR="00507994">
        <w:t xml:space="preserve">in principle, the </w:t>
      </w:r>
      <w:r w:rsidR="00A2004D">
        <w:t xml:space="preserve">gNB </w:t>
      </w:r>
      <w:r w:rsidR="0068517E">
        <w:t>could</w:t>
      </w:r>
      <w:r w:rsidR="00A2004D">
        <w:t xml:space="preserve"> estimate</w:t>
      </w:r>
      <w:r w:rsidR="00417D75">
        <w:t xml:space="preserve"> the full channel </w:t>
      </w:r>
      <w:r w:rsidR="00A2004D">
        <w:t>matrix</w:t>
      </w:r>
      <w:r w:rsidR="0068517E">
        <w:t>, if at most one SRS resource is configured in the set.</w:t>
      </w:r>
      <w:r w:rsidR="00410C99" w:rsidRPr="00410C99">
        <w:rPr>
          <w:color w:val="000000"/>
        </w:rPr>
        <w:t xml:space="preserve"> </w:t>
      </w:r>
      <w:r w:rsidR="00410C99">
        <w:rPr>
          <w:color w:val="000000"/>
        </w:rPr>
        <w:t>However, when a single resource is configured, it is overly restrictive to have to rely on the same configuration</w:t>
      </w:r>
      <w:r w:rsidR="00410C99" w:rsidRPr="001E2D82">
        <w:rPr>
          <w:color w:val="000000"/>
        </w:rPr>
        <w:t xml:space="preserve"> </w:t>
      </w:r>
      <w:r w:rsidR="00410C99">
        <w:rPr>
          <w:color w:val="000000"/>
        </w:rPr>
        <w:t>for determining both PUSCH codebook-based and reciprocity based PDSCH beamforming, as the channel estimation requirements of these two use cases can be quite different. For example, for PUSCH precoding it may be sufficient to configure the resource as aperiodic with frequency hopping disabled, but for reciprocity-based PDSCH beamforming, a more suitable configuration could be periodic or semi-persistent with frequency hopping enabled, to support better channel estimation and reduce channel aging effects.</w:t>
      </w:r>
      <w:r w:rsidR="00410C99">
        <w:t xml:space="preserve"> We note that c</w:t>
      </w:r>
      <w:r w:rsidR="0068517E">
        <w:t>odebook</w:t>
      </w:r>
      <w:r w:rsidR="00410C99">
        <w:t>-</w:t>
      </w:r>
      <w:r w:rsidR="0068517E">
        <w:t xml:space="preserve">based operation </w:t>
      </w:r>
      <w:r w:rsidR="00410C99">
        <w:t xml:space="preserve">also </w:t>
      </w:r>
      <w:r w:rsidR="0068517E">
        <w:t xml:space="preserve">allows </w:t>
      </w:r>
      <w:r w:rsidR="00001351">
        <w:t>two</w:t>
      </w:r>
      <w:r w:rsidR="0068517E">
        <w:t xml:space="preserve"> SRS resources to be configured in a set, in which case SRI selects one of them for transmission, e.g., to support panel selection. For reciprocity</w:t>
      </w:r>
      <w:r w:rsidR="007A5443">
        <w:t>-</w:t>
      </w:r>
      <w:r w:rsidR="0068517E">
        <w:t xml:space="preserve">based </w:t>
      </w:r>
      <w:r w:rsidR="007A5443">
        <w:t>DL precoding</w:t>
      </w:r>
      <w:r w:rsidR="0068517E">
        <w:t xml:space="preserve">, SRI </w:t>
      </w:r>
      <w:r w:rsidR="00F709FB">
        <w:t>is not relevant</w:t>
      </w:r>
      <w:r w:rsidR="0068517E">
        <w:t xml:space="preserve">. </w:t>
      </w:r>
      <w:r w:rsidR="00410C99">
        <w:t>For the above reasons,</w:t>
      </w:r>
      <w:r w:rsidR="0068517E">
        <w:t xml:space="preserve"> </w:t>
      </w:r>
      <w:r w:rsidR="00410C99">
        <w:t xml:space="preserve">neither ‘codebook nor ‘nonCodebook’ configuration of </w:t>
      </w:r>
      <w:r w:rsidR="0068517E" w:rsidRPr="0068517E">
        <w:rPr>
          <w:i/>
        </w:rPr>
        <w:t>SRS-SetUSe</w:t>
      </w:r>
      <w:r w:rsidR="0068517E">
        <w:t xml:space="preserve"> is appropriate for reciprocity-based </w:t>
      </w:r>
      <w:r w:rsidR="007A5443">
        <w:t>DL precoding</w:t>
      </w:r>
      <w:r w:rsidR="0068517E">
        <w:t>.</w:t>
      </w:r>
    </w:p>
    <w:p w14:paraId="48D29E0A" w14:textId="4FFA0DFF" w:rsidR="00954EC1" w:rsidRPr="0048482F" w:rsidRDefault="007A5443" w:rsidP="00CF1BF0">
      <w:pPr>
        <w:rPr>
          <w:color w:val="000000"/>
        </w:rPr>
      </w:pPr>
      <w:r>
        <w:rPr>
          <w:color w:val="000000"/>
        </w:rPr>
        <w:t>For the case of</w:t>
      </w:r>
      <w:r w:rsidR="00CF1BF0" w:rsidRPr="0048482F">
        <w:rPr>
          <w:i/>
          <w:color w:val="000000"/>
        </w:rPr>
        <w:t xml:space="preserve"> SRS-SetUse </w:t>
      </w:r>
      <w:r w:rsidR="00CF1BF0" w:rsidRPr="0048482F">
        <w:rPr>
          <w:color w:val="000000"/>
        </w:rPr>
        <w:t xml:space="preserve">set to </w:t>
      </w:r>
      <w:r w:rsidR="00CF1BF0">
        <w:rPr>
          <w:color w:val="000000"/>
        </w:rPr>
        <w:t>'</w:t>
      </w:r>
      <w:r w:rsidR="00CF1BF0" w:rsidRPr="0048482F">
        <w:rPr>
          <w:color w:val="000000"/>
        </w:rPr>
        <w:t>BeamManagement</w:t>
      </w:r>
      <w:r w:rsidR="00CF1BF0">
        <w:rPr>
          <w:color w:val="000000"/>
        </w:rPr>
        <w:t>'</w:t>
      </w:r>
      <w:r w:rsidR="00CF1BF0" w:rsidRPr="0048482F">
        <w:rPr>
          <w:i/>
          <w:color w:val="000000"/>
        </w:rPr>
        <w:t xml:space="preserve">, </w:t>
      </w:r>
      <w:r w:rsidR="00025F5A">
        <w:t>a</w:t>
      </w:r>
      <w:r w:rsidR="00ED2215">
        <w:t xml:space="preserve"> t</w:t>
      </w:r>
      <w:r w:rsidR="00C46723">
        <w:t>ypical</w:t>
      </w:r>
      <w:r w:rsidR="00ED2215">
        <w:t xml:space="preserve"> set configuration</w:t>
      </w:r>
      <w:r w:rsidR="00C46723">
        <w:t xml:space="preserve"> would consist of multiple single-symbol, 1-port, SRS resources without frequency hopping where each resource is in a different symbol of the slot</w:t>
      </w:r>
      <w:r w:rsidR="00025F5A">
        <w:t>, and may be beamformed differently in each symbol.</w:t>
      </w:r>
      <w:r w:rsidR="00C46723">
        <w:t xml:space="preserve"> This allows either a UE Tx or gNB Rx beam sweep. Clearly, this is not suitable configuration for the reciprocity use case</w:t>
      </w:r>
      <w:r w:rsidR="00410C99">
        <w:t xml:space="preserve"> either.</w:t>
      </w:r>
    </w:p>
    <w:p w14:paraId="7F73B6C9" w14:textId="50C8A8D0" w:rsidR="001A77C2" w:rsidRDefault="001A77C2" w:rsidP="001A77C2">
      <w:pPr>
        <w:pStyle w:val="Observation"/>
      </w:pPr>
      <w:bookmarkStart w:id="25" w:name="_Toc498091959"/>
      <w:bookmarkStart w:id="26" w:name="_Toc506563959"/>
      <w:bookmarkStart w:id="27" w:name="_Toc506563980"/>
      <w:bookmarkStart w:id="28" w:name="_Toc506564009"/>
      <w:bookmarkStart w:id="29" w:name="_Toc506572872"/>
      <w:bookmarkStart w:id="30" w:name="_Toc510089278"/>
      <w:bookmarkStart w:id="31" w:name="_Toc510105893"/>
      <w:bookmarkStart w:id="32" w:name="_Toc510106157"/>
      <w:bookmarkStart w:id="33" w:name="_Toc510106169"/>
      <w:bookmarkStart w:id="34" w:name="_Toc510106518"/>
      <w:bookmarkStart w:id="35" w:name="_Toc510109282"/>
      <w:bookmarkStart w:id="36" w:name="_Toc510109379"/>
      <w:bookmarkStart w:id="37" w:name="_Toc510109449"/>
      <w:bookmarkStart w:id="38" w:name="_Hlk510793572"/>
      <w:r w:rsidRPr="001A77C2">
        <w:t xml:space="preserve">The parameter </w:t>
      </w:r>
      <w:r w:rsidRPr="005020E7">
        <w:rPr>
          <w:i/>
        </w:rPr>
        <w:t>SRS-SetUse</w:t>
      </w:r>
      <w:r w:rsidRPr="001A77C2">
        <w:t xml:space="preserve"> </w:t>
      </w:r>
      <w:r w:rsidR="00CF7265">
        <w:t xml:space="preserve">does not have a configuration </w:t>
      </w:r>
      <w:r w:rsidR="00410C99">
        <w:t>well-</w:t>
      </w:r>
      <w:r w:rsidR="00335FCE">
        <w:t xml:space="preserve">suited </w:t>
      </w:r>
      <w:r w:rsidR="00BA1030">
        <w:t xml:space="preserve">to </w:t>
      </w:r>
      <w:r w:rsidRPr="001A77C2">
        <w:t xml:space="preserve">support </w:t>
      </w:r>
      <w:r w:rsidR="005020E7">
        <w:t xml:space="preserve">sounding of the </w:t>
      </w:r>
      <w:r w:rsidR="005020E7" w:rsidRPr="001A77C2">
        <w:t xml:space="preserve">full </w:t>
      </w:r>
      <w:r w:rsidR="005020E7">
        <w:t>MIMO</w:t>
      </w:r>
      <w:r w:rsidR="005020E7" w:rsidRPr="001A77C2">
        <w:t xml:space="preserve"> </w:t>
      </w:r>
      <w:r w:rsidR="005020E7">
        <w:t>channel</w:t>
      </w:r>
      <w:r w:rsidR="005020E7" w:rsidRPr="001A77C2">
        <w:t xml:space="preserve"> </w:t>
      </w:r>
      <w:r w:rsidR="00BA1030" w:rsidRPr="001A77C2">
        <w:t>when T = R</w:t>
      </w:r>
      <w:r w:rsidRPr="001A77C2">
        <w:t xml:space="preserve"> for the use case of reciprocity-based DL precoding.</w:t>
      </w:r>
      <w:bookmarkEnd w:id="25"/>
      <w:bookmarkEnd w:id="26"/>
      <w:bookmarkEnd w:id="27"/>
      <w:bookmarkEnd w:id="28"/>
      <w:bookmarkEnd w:id="29"/>
      <w:bookmarkEnd w:id="30"/>
      <w:bookmarkEnd w:id="31"/>
      <w:bookmarkEnd w:id="32"/>
      <w:bookmarkEnd w:id="33"/>
      <w:bookmarkEnd w:id="34"/>
      <w:bookmarkEnd w:id="35"/>
      <w:bookmarkEnd w:id="36"/>
      <w:bookmarkEnd w:id="37"/>
    </w:p>
    <w:p w14:paraId="5AA9A1FB" w14:textId="57AA8ABC" w:rsidR="008A5C9A" w:rsidRPr="005020E7" w:rsidRDefault="008364E3" w:rsidP="00ED7EFC">
      <w:pPr>
        <w:pStyle w:val="BodyText"/>
        <w:rPr>
          <w:b/>
          <w:lang w:val="en-US" w:eastAsia="en-US"/>
        </w:rPr>
      </w:pPr>
      <w:bookmarkStart w:id="39" w:name="_Toc506563960"/>
      <w:bookmarkEnd w:id="38"/>
      <w:r>
        <w:t>A simple</w:t>
      </w:r>
      <w:r w:rsidR="008A5C9A" w:rsidRPr="008A5C9A">
        <w:t xml:space="preserve"> </w:t>
      </w:r>
      <w:r w:rsidR="008A5C9A">
        <w:t>solution</w:t>
      </w:r>
      <w:r w:rsidR="008A5C9A" w:rsidRPr="008A5C9A">
        <w:t xml:space="preserve"> </w:t>
      </w:r>
      <w:r>
        <w:t>is</w:t>
      </w:r>
      <w:r w:rsidR="008A5C9A" w:rsidRPr="008A5C9A">
        <w:t xml:space="preserve"> to </w:t>
      </w:r>
      <w:r w:rsidR="008A5C9A">
        <w:t xml:space="preserve">extend the usage of the </w:t>
      </w:r>
      <w:r w:rsidR="008A5C9A" w:rsidRPr="008A5C9A">
        <w:rPr>
          <w:i/>
        </w:rPr>
        <w:t>SRS-SetUse</w:t>
      </w:r>
      <w:r w:rsidR="008A5C9A" w:rsidRPr="008A5C9A">
        <w:t xml:space="preserve"> </w:t>
      </w:r>
      <w:r w:rsidR="008A5C9A">
        <w:t>parameter value</w:t>
      </w:r>
      <w:r w:rsidR="008A5C9A" w:rsidRPr="008A5C9A">
        <w:t xml:space="preserve"> </w:t>
      </w:r>
      <w:r w:rsidR="008A5C9A">
        <w:t>‘</w:t>
      </w:r>
      <w:r w:rsidR="008A5C9A" w:rsidRPr="008A5C9A">
        <w:t>AntennaSwitching</w:t>
      </w:r>
      <w:r w:rsidR="008A5C9A">
        <w:t>’</w:t>
      </w:r>
      <w:r w:rsidR="003E6E72">
        <w:t xml:space="preserve"> </w:t>
      </w:r>
      <w:r w:rsidR="00AE4B61">
        <w:t xml:space="preserve">to also </w:t>
      </w:r>
      <w:r w:rsidR="00521844">
        <w:t>support</w:t>
      </w:r>
      <w:r w:rsidR="00AE4B61">
        <w:t xml:space="preserve"> the case</w:t>
      </w:r>
      <w:r w:rsidR="008A5C9A" w:rsidRPr="008A5C9A">
        <w:t xml:space="preserve"> </w:t>
      </w:r>
      <w:r w:rsidR="00AE4B61" w:rsidRPr="008A5C9A">
        <w:t>whe</w:t>
      </w:r>
      <w:r w:rsidR="00AE4B61">
        <w:t>n</w:t>
      </w:r>
      <w:r w:rsidR="00AE4B61" w:rsidRPr="008A5C9A">
        <w:t xml:space="preserve"> T = R</w:t>
      </w:r>
      <w:r w:rsidR="00AE4B61">
        <w:t xml:space="preserve">. </w:t>
      </w:r>
      <w:r>
        <w:t xml:space="preserve">It is natural to focus on this value of </w:t>
      </w:r>
      <w:r w:rsidRPr="00862BCA">
        <w:rPr>
          <w:i/>
        </w:rPr>
        <w:t>SRS-SetUse</w:t>
      </w:r>
      <w:r>
        <w:t xml:space="preserve">, since this setting is already used for the purposes of estimating the full MIMO channel matrix to support reciprocity-based </w:t>
      </w:r>
      <w:r w:rsidR="007A5443">
        <w:t>DL precoding</w:t>
      </w:r>
      <w:r>
        <w:t xml:space="preserve"> for 1T2R, 1T4R, and 2T4R. We emphasize that</w:t>
      </w:r>
      <w:r w:rsidR="003E6E72">
        <w:t xml:space="preserve"> this solution does not have </w:t>
      </w:r>
      <w:r w:rsidR="00E53998">
        <w:t xml:space="preserve">an </w:t>
      </w:r>
      <w:r w:rsidR="003E6E72">
        <w:t>impact in RRC</w:t>
      </w:r>
      <w:r>
        <w:t xml:space="preserve">; </w:t>
      </w:r>
      <w:r w:rsidR="00E53998">
        <w:t xml:space="preserve">it </w:t>
      </w:r>
      <w:r w:rsidR="003E6E72">
        <w:t xml:space="preserve">only requires </w:t>
      </w:r>
      <w:r w:rsidR="00521844">
        <w:t xml:space="preserve">a simple text </w:t>
      </w:r>
      <w:r w:rsidR="003E6E72">
        <w:t>add</w:t>
      </w:r>
      <w:r w:rsidR="00521844">
        <w:t>ition</w:t>
      </w:r>
      <w:r w:rsidR="00335FCE">
        <w:t xml:space="preserve"> </w:t>
      </w:r>
      <w:r>
        <w:t>to</w:t>
      </w:r>
      <w:r w:rsidR="003E6E72">
        <w:t xml:space="preserve"> TS</w:t>
      </w:r>
      <w:r w:rsidR="00AE4B61" w:rsidRPr="00AE4B61">
        <w:t xml:space="preserve"> 38.214</w:t>
      </w:r>
      <w:r w:rsidR="003E6E72">
        <w:t xml:space="preserve"> </w:t>
      </w:r>
      <w:r w:rsidR="00862BCA">
        <w:fldChar w:fldCharType="begin"/>
      </w:r>
      <w:r w:rsidR="00862BCA">
        <w:instrText xml:space="preserve"> REF _Ref510109421 \r \h </w:instrText>
      </w:r>
      <w:r w:rsidR="00862BCA">
        <w:fldChar w:fldCharType="separate"/>
      </w:r>
      <w:r w:rsidR="00862BCA">
        <w:t>[3]</w:t>
      </w:r>
      <w:r w:rsidR="00862BCA">
        <w:fldChar w:fldCharType="end"/>
      </w:r>
      <w:r w:rsidR="00521844">
        <w:t xml:space="preserve"> to introduce </w:t>
      </w:r>
      <w:r>
        <w:t>the</w:t>
      </w:r>
      <w:r w:rsidR="00521844">
        <w:t xml:space="preserve"> T = R</w:t>
      </w:r>
      <w:r>
        <w:t xml:space="preserve"> case</w:t>
      </w:r>
      <w:r w:rsidR="00335FCE">
        <w:t>.</w:t>
      </w:r>
      <w:r w:rsidR="00521844">
        <w:t xml:space="preserve"> </w:t>
      </w:r>
      <w:bookmarkEnd w:id="39"/>
    </w:p>
    <w:p w14:paraId="61A85F20" w14:textId="29557365" w:rsidR="007A5443" w:rsidRDefault="007E1EB8" w:rsidP="00025F5A">
      <w:pPr>
        <w:pStyle w:val="Proposal"/>
      </w:pPr>
      <w:bookmarkStart w:id="40" w:name="_Toc492554353"/>
      <w:bookmarkStart w:id="41" w:name="_Toc492554531"/>
      <w:bookmarkStart w:id="42" w:name="_Toc498092135"/>
      <w:bookmarkStart w:id="43" w:name="_Ref510095319"/>
      <w:bookmarkStart w:id="44" w:name="_Toc510101527"/>
      <w:bookmarkStart w:id="45" w:name="_Toc510101530"/>
      <w:bookmarkStart w:id="46" w:name="_Toc510101554"/>
      <w:bookmarkStart w:id="47" w:name="_Toc510095666"/>
      <w:bookmarkStart w:id="48" w:name="_Toc510105894"/>
      <w:bookmarkStart w:id="49" w:name="_Toc510106158"/>
      <w:bookmarkStart w:id="50" w:name="_Toc510106170"/>
      <w:bookmarkStart w:id="51" w:name="_Toc510106519"/>
      <w:bookmarkStart w:id="52" w:name="_Toc510109279"/>
      <w:bookmarkStart w:id="53" w:name="_Toc510109384"/>
      <w:bookmarkStart w:id="54" w:name="_Toc510109454"/>
      <w:bookmarkStart w:id="55" w:name="_Toc510109794"/>
      <w:bookmarkStart w:id="56" w:name="_Toc506563962"/>
      <w:bookmarkStart w:id="57" w:name="_Toc506564011"/>
      <w:bookmarkStart w:id="58" w:name="_Toc506572869"/>
      <w:bookmarkStart w:id="59" w:name="_Toc510089286"/>
      <w:bookmarkStart w:id="60" w:name="_Toc510779039"/>
      <w:r>
        <w:t>To support</w:t>
      </w:r>
      <w:r w:rsidR="007A5443">
        <w:t xml:space="preserve"> reciprocity-based DL precoding, extend the </w:t>
      </w:r>
      <w:r w:rsidR="007A5443" w:rsidRPr="008607E3">
        <w:rPr>
          <w:i/>
        </w:rPr>
        <w:t>SRS-SetUse</w:t>
      </w:r>
      <w:r w:rsidR="007A5443">
        <w:t xml:space="preserve"> = ‘AntennaSwitching’ case </w:t>
      </w:r>
      <w:bookmarkEnd w:id="40"/>
      <w:bookmarkEnd w:id="41"/>
      <w:bookmarkEnd w:id="42"/>
      <w:r w:rsidR="008A5C9A">
        <w:t xml:space="preserve">to </w:t>
      </w:r>
      <w:r>
        <w:t xml:space="preserve">allow </w:t>
      </w:r>
      <w:r w:rsidR="008C1039">
        <w:t>configur</w:t>
      </w:r>
      <w:r>
        <w:t xml:space="preserve">ation of </w:t>
      </w:r>
      <w:r w:rsidR="008B5B9E">
        <w:t>an</w:t>
      </w:r>
      <w:r w:rsidR="008C1039">
        <w:t xml:space="preserve"> SRS set with </w:t>
      </w:r>
      <w:r w:rsidR="007A5443">
        <w:t xml:space="preserve">a single </w:t>
      </w:r>
      <w:r w:rsidR="00410C99">
        <w:t>SRS resource</w:t>
      </w:r>
      <w:r w:rsidR="007A5443">
        <w:t xml:space="preserve"> </w:t>
      </w:r>
      <w:r w:rsidR="00410C99">
        <w:t xml:space="preserve">with </w:t>
      </w:r>
      <w:r>
        <w:t xml:space="preserve">1, 2, or 4 </w:t>
      </w:r>
      <w:r w:rsidR="008B5B9E">
        <w:t xml:space="preserve">SRS </w:t>
      </w:r>
      <w:r>
        <w:t>ports</w:t>
      </w:r>
      <w:r w:rsidR="007A5443">
        <w:t>.</w:t>
      </w:r>
      <w:r w:rsidR="008607E3">
        <w:t xml:space="preserve"> This proposal is NOT RRC-impacting</w:t>
      </w:r>
      <w:bookmarkEnd w:id="43"/>
      <w:r w:rsidR="008607E3">
        <w:t>.</w:t>
      </w:r>
      <w:bookmarkEnd w:id="44"/>
      <w:bookmarkEnd w:id="45"/>
      <w:bookmarkEnd w:id="46"/>
      <w:bookmarkEnd w:id="47"/>
      <w:bookmarkEnd w:id="48"/>
      <w:bookmarkEnd w:id="49"/>
      <w:bookmarkEnd w:id="50"/>
      <w:bookmarkEnd w:id="51"/>
      <w:bookmarkEnd w:id="52"/>
      <w:bookmarkEnd w:id="53"/>
      <w:bookmarkEnd w:id="54"/>
      <w:bookmarkEnd w:id="55"/>
      <w:bookmarkEnd w:id="60"/>
    </w:p>
    <w:bookmarkEnd w:id="56"/>
    <w:bookmarkEnd w:id="57"/>
    <w:bookmarkEnd w:id="58"/>
    <w:bookmarkEnd w:id="59"/>
    <w:p w14:paraId="64A2A456" w14:textId="060498D7" w:rsidR="00F709FB" w:rsidRDefault="00142F68" w:rsidP="00B80EBE">
      <w:pPr>
        <w:pStyle w:val="BodyText"/>
      </w:pPr>
      <w:r>
        <w:t>T</w:t>
      </w:r>
      <w:r w:rsidR="00F709FB">
        <w:t>he following text proposal</w:t>
      </w:r>
      <w:r>
        <w:t xml:space="preserve"> (red text) implements</w:t>
      </w:r>
      <w:r w:rsidR="008607E3">
        <w:t xml:space="preserve"> </w:t>
      </w:r>
      <w:r w:rsidR="008607E3">
        <w:fldChar w:fldCharType="begin"/>
      </w:r>
      <w:r w:rsidR="008607E3">
        <w:instrText xml:space="preserve"> REF _Ref510095319 \r \h </w:instrText>
      </w:r>
      <w:r w:rsidR="008607E3">
        <w:fldChar w:fldCharType="separate"/>
      </w:r>
      <w:r w:rsidR="00862BCA">
        <w:t>Proposal 5</w:t>
      </w:r>
      <w:r w:rsidR="008607E3">
        <w:fldChar w:fldCharType="end"/>
      </w:r>
      <w:r w:rsidR="00F709FB">
        <w:t xml:space="preserve">. </w:t>
      </w:r>
      <w:r>
        <w:t xml:space="preserve">The </w:t>
      </w:r>
      <w:r w:rsidR="00F709FB">
        <w:t>text in blue is editorial and is intended to improve clarity.</w:t>
      </w:r>
      <w:r w:rsidR="008607E3">
        <w:t xml:space="preserve"> For the T = R case, the restriction to a single SRS resource is needed, otherwise the UE and gNB are not able to distinguish between the 1T2R, 2T4R, 1T4R, and T = R cases solely based on the number of configured </w:t>
      </w:r>
      <w:r w:rsidR="008607E3">
        <w:lastRenderedPageBreak/>
        <w:t>resources/ports.</w:t>
      </w:r>
      <w:r w:rsidR="00862BCA">
        <w:t xml:space="preserve"> Without the restriction, the alternative </w:t>
      </w:r>
      <w:r w:rsidR="007E1EB8">
        <w:t>would be</w:t>
      </w:r>
      <w:r w:rsidR="00862BCA">
        <w:t xml:space="preserve"> to introduce a new RRC parameter which is undesirable.</w:t>
      </w:r>
    </w:p>
    <w:p w14:paraId="41BE3530" w14:textId="77777777" w:rsidR="00862BCA" w:rsidRDefault="00862BCA" w:rsidP="00B80EBE">
      <w:pPr>
        <w:pStyle w:val="BodyText"/>
      </w:pPr>
    </w:p>
    <w:p w14:paraId="1E874A1F" w14:textId="4CE256E0" w:rsidR="00902CF3" w:rsidRDefault="00902CF3" w:rsidP="00B80EBE">
      <w:pPr>
        <w:pStyle w:val="BodyText"/>
      </w:pPr>
      <w:r w:rsidRPr="00902CF3">
        <w:rPr>
          <w:highlight w:val="yellow"/>
        </w:rPr>
        <w:t>&gt;&gt;&gt; Text proposal for 38.214 Section  6.2.1.2 &gt;&gt;&gt;</w:t>
      </w:r>
    </w:p>
    <w:p w14:paraId="2C5160F7" w14:textId="77777777" w:rsidR="00902CF3" w:rsidRPr="0048482F" w:rsidRDefault="00902CF3" w:rsidP="00902CF3">
      <w:pPr>
        <w:pStyle w:val="Heading4"/>
        <w:numPr>
          <w:ilvl w:val="0"/>
          <w:numId w:val="0"/>
        </w:numPr>
        <w:rPr>
          <w:color w:val="000000"/>
        </w:rPr>
      </w:pPr>
      <w:bookmarkStart w:id="61" w:name="_Toc501048222"/>
      <w:r w:rsidRPr="0048482F">
        <w:rPr>
          <w:color w:val="000000"/>
        </w:rPr>
        <w:t>6.2.1.2</w:t>
      </w:r>
      <w:r w:rsidRPr="0048482F">
        <w:rPr>
          <w:color w:val="000000"/>
        </w:rPr>
        <w:tab/>
        <w:t>UE antenna switching</w:t>
      </w:r>
      <w:bookmarkEnd w:id="61"/>
    </w:p>
    <w:p w14:paraId="4901BFE4" w14:textId="77777777" w:rsidR="00902CF3" w:rsidRPr="0048482F" w:rsidRDefault="00902CF3" w:rsidP="00902CF3">
      <w:pPr>
        <w:rPr>
          <w:color w:val="000000"/>
          <w:lang w:val="en-US"/>
        </w:rPr>
      </w:pPr>
      <w:r w:rsidRPr="0048482F">
        <w:rPr>
          <w:color w:val="000000"/>
          <w:lang w:val="en-US"/>
        </w:rPr>
        <w:t xml:space="preserve">When UE antenna switching is enabled by the higher layer parameter </w:t>
      </w:r>
      <w:r w:rsidRPr="0048482F">
        <w:rPr>
          <w:i/>
          <w:color w:val="000000"/>
        </w:rPr>
        <w:t xml:space="preserve">SRS-SetUse </w:t>
      </w:r>
      <w:r w:rsidRPr="0048482F">
        <w:rPr>
          <w:color w:val="000000"/>
          <w:lang w:val="en-US"/>
        </w:rPr>
        <w:t xml:space="preserve">set as </w:t>
      </w:r>
      <w:r>
        <w:rPr>
          <w:color w:val="000000"/>
          <w:lang w:val="en-US"/>
        </w:rPr>
        <w:t>'</w:t>
      </w:r>
      <w:r w:rsidRPr="0048482F">
        <w:rPr>
          <w:color w:val="000000"/>
          <w:lang w:val="en-US"/>
        </w:rPr>
        <w:t>antenna switching</w:t>
      </w:r>
      <w:r>
        <w:rPr>
          <w:color w:val="000000"/>
          <w:lang w:val="en-US"/>
        </w:rPr>
        <w:t>'</w:t>
      </w:r>
      <w:r w:rsidRPr="0048482F">
        <w:rPr>
          <w:color w:val="000000"/>
          <w:lang w:val="en-US"/>
        </w:rPr>
        <w:t xml:space="preserve"> for a UE that supports transmit antenna switching, a UE may be configured</w:t>
      </w:r>
      <w:r w:rsidRPr="0048482F">
        <w:rPr>
          <w:rFonts w:hint="eastAsia"/>
          <w:color w:val="000000"/>
          <w:lang w:val="en-US"/>
        </w:rPr>
        <w:t xml:space="preserve"> </w:t>
      </w:r>
      <w:r w:rsidRPr="0048482F">
        <w:rPr>
          <w:color w:val="000000"/>
          <w:lang w:val="en-US"/>
        </w:rPr>
        <w:t>with one of the following configurations depending on the UE capability:</w:t>
      </w:r>
    </w:p>
    <w:p w14:paraId="632B77B3" w14:textId="13FF0A2E" w:rsidR="00902CF3" w:rsidRPr="0048482F" w:rsidRDefault="00902CF3" w:rsidP="00902CF3">
      <w:pPr>
        <w:pStyle w:val="B1"/>
      </w:pPr>
      <w:r>
        <w:rPr>
          <w:rFonts w:eastAsia="MS Mincho"/>
          <w:iCs/>
          <w:lang w:val="en-US" w:eastAsia="ja-JP"/>
        </w:rPr>
        <w:t>-</w:t>
      </w:r>
      <w:r>
        <w:rPr>
          <w:rFonts w:eastAsia="MS Mincho"/>
          <w:iCs/>
          <w:lang w:val="en-US" w:eastAsia="ja-JP"/>
        </w:rPr>
        <w:tab/>
      </w:r>
      <w:r w:rsidRPr="0048482F">
        <w:rPr>
          <w:rFonts w:eastAsia="MS Mincho"/>
          <w:iCs/>
          <w:lang w:val="en-US" w:eastAsia="ja-JP"/>
        </w:rPr>
        <w:t xml:space="preserve">SRS resource set with </w:t>
      </w:r>
      <w:r w:rsidRPr="0048482F">
        <w:t>two SRS resources transmitted in different symbols, each SRS resource consisting of a single SRS port</w:t>
      </w:r>
      <w:r w:rsidR="00C75415">
        <w:t>,</w:t>
      </w:r>
      <w:r w:rsidRPr="0048482F">
        <w:t xml:space="preserve"> </w:t>
      </w:r>
      <w:r w:rsidR="00C75415" w:rsidRPr="00E943EA">
        <w:rPr>
          <w:color w:val="00B0F0"/>
        </w:rPr>
        <w:t xml:space="preserve">and </w:t>
      </w:r>
      <w:r w:rsidR="00B9238E" w:rsidRPr="00E943EA">
        <w:rPr>
          <w:color w:val="00B0F0"/>
        </w:rPr>
        <w:t xml:space="preserve">where the </w:t>
      </w:r>
      <w:r w:rsidR="00C75415" w:rsidRPr="00E943EA">
        <w:rPr>
          <w:color w:val="00B0F0"/>
        </w:rPr>
        <w:t xml:space="preserve">SRS </w:t>
      </w:r>
      <w:r w:rsidR="00B9238E" w:rsidRPr="00E943EA">
        <w:rPr>
          <w:color w:val="00B0F0"/>
        </w:rPr>
        <w:t>port of the second resource is associated with a different UE antenna</w:t>
      </w:r>
      <w:r w:rsidR="00C75415" w:rsidRPr="00E943EA">
        <w:rPr>
          <w:color w:val="00B0F0"/>
        </w:rPr>
        <w:t xml:space="preserve"> port than the SRS port of the first resource, </w:t>
      </w:r>
      <w:r w:rsidRPr="00E943EA">
        <w:rPr>
          <w:strike/>
          <w:color w:val="00B0F0"/>
        </w:rPr>
        <w:t>being associated with different UE antenna ports,</w:t>
      </w:r>
      <w:r w:rsidRPr="00C75415">
        <w:rPr>
          <w:color w:val="FF0000"/>
        </w:rPr>
        <w:t xml:space="preserve"> </w:t>
      </w:r>
      <w:r w:rsidRPr="0048482F">
        <w:t>or</w:t>
      </w:r>
    </w:p>
    <w:p w14:paraId="159C011F" w14:textId="700AF37A" w:rsidR="00902CF3" w:rsidRPr="0048482F" w:rsidRDefault="00902CF3" w:rsidP="00902CF3">
      <w:pPr>
        <w:pStyle w:val="B1"/>
      </w:pPr>
      <w:r>
        <w:rPr>
          <w:rFonts w:eastAsia="MS Mincho"/>
          <w:iCs/>
          <w:lang w:val="en-US" w:eastAsia="ja-JP"/>
        </w:rPr>
        <w:t>-</w:t>
      </w:r>
      <w:r>
        <w:rPr>
          <w:rFonts w:eastAsia="MS Mincho"/>
          <w:iCs/>
          <w:lang w:val="en-US" w:eastAsia="ja-JP"/>
        </w:rPr>
        <w:tab/>
      </w:r>
      <w:r w:rsidRPr="0048482F">
        <w:rPr>
          <w:rFonts w:eastAsia="MS Mincho"/>
          <w:iCs/>
          <w:lang w:val="en-US" w:eastAsia="ja-JP"/>
        </w:rPr>
        <w:t xml:space="preserve">SRS resource set with </w:t>
      </w:r>
      <w:r w:rsidRPr="0048482F">
        <w:t>two SRS resources transmitted in different symbols, each SRS resource consisting of two SRS ports</w:t>
      </w:r>
      <w:r w:rsidR="00C75415" w:rsidRPr="00E943EA">
        <w:rPr>
          <w:color w:val="00B0F0"/>
        </w:rPr>
        <w:t>,</w:t>
      </w:r>
      <w:r w:rsidRPr="00E943EA">
        <w:rPr>
          <w:color w:val="00B0F0"/>
        </w:rPr>
        <w:t xml:space="preserve"> </w:t>
      </w:r>
      <w:r w:rsidR="00C75415" w:rsidRPr="00E943EA">
        <w:rPr>
          <w:color w:val="00B0F0"/>
        </w:rPr>
        <w:t xml:space="preserve">and </w:t>
      </w:r>
      <w:r w:rsidRPr="0048482F">
        <w:t xml:space="preserve">where the </w:t>
      </w:r>
      <w:r w:rsidR="00B9238E" w:rsidRPr="00E943EA">
        <w:rPr>
          <w:color w:val="00B0F0"/>
        </w:rPr>
        <w:t xml:space="preserve">SRS </w:t>
      </w:r>
      <w:r w:rsidRPr="0048482F">
        <w:t xml:space="preserve">port pair of the second resource is associated with a different UE antenna </w:t>
      </w:r>
      <w:r w:rsidR="00B9238E" w:rsidRPr="00E943EA">
        <w:rPr>
          <w:color w:val="00B0F0"/>
        </w:rPr>
        <w:t xml:space="preserve">port </w:t>
      </w:r>
      <w:r w:rsidRPr="0048482F">
        <w:t xml:space="preserve">pair than the </w:t>
      </w:r>
      <w:r w:rsidR="00B9238E" w:rsidRPr="00E943EA">
        <w:rPr>
          <w:color w:val="00B0F0"/>
        </w:rPr>
        <w:t xml:space="preserve">SRS </w:t>
      </w:r>
      <w:r w:rsidRPr="0048482F">
        <w:t>port pair of the first resource, or</w:t>
      </w:r>
    </w:p>
    <w:p w14:paraId="1CE3B5BD" w14:textId="242853D8" w:rsidR="00902CF3" w:rsidRDefault="00902CF3" w:rsidP="00902CF3">
      <w:pPr>
        <w:pStyle w:val="B1"/>
      </w:pPr>
      <w:r>
        <w:rPr>
          <w:rFonts w:eastAsia="MS Mincho"/>
          <w:iCs/>
          <w:lang w:val="en-US" w:eastAsia="ja-JP"/>
        </w:rPr>
        <w:t>-</w:t>
      </w:r>
      <w:r>
        <w:rPr>
          <w:rFonts w:eastAsia="MS Mincho"/>
          <w:iCs/>
          <w:lang w:val="en-US" w:eastAsia="ja-JP"/>
        </w:rPr>
        <w:tab/>
      </w:r>
      <w:r w:rsidRPr="0048482F">
        <w:rPr>
          <w:rFonts w:eastAsia="MS Mincho"/>
          <w:iCs/>
          <w:lang w:val="en-US" w:eastAsia="ja-JP"/>
        </w:rPr>
        <w:t>SRS resource set with four</w:t>
      </w:r>
      <w:r w:rsidRPr="0048482F">
        <w:t xml:space="preserve"> SRS resources transmitted in different symbols, each SRS resource consisting of a single SRS port</w:t>
      </w:r>
      <w:r w:rsidR="00E943EA">
        <w:rPr>
          <w:color w:val="00B0F0"/>
        </w:rPr>
        <w:t>, and where the SRS port of each resource is</w:t>
      </w:r>
      <w:r w:rsidR="00C75415">
        <w:rPr>
          <w:color w:val="FF0000"/>
        </w:rPr>
        <w:t xml:space="preserve"> </w:t>
      </w:r>
      <w:r w:rsidRPr="00E943EA">
        <w:rPr>
          <w:strike/>
          <w:color w:val="00B0F0"/>
        </w:rPr>
        <w:t>being</w:t>
      </w:r>
      <w:r w:rsidRPr="00E943EA">
        <w:rPr>
          <w:color w:val="00B0F0"/>
        </w:rPr>
        <w:t xml:space="preserve"> </w:t>
      </w:r>
      <w:r w:rsidRPr="0048482F">
        <w:t xml:space="preserve">associated with </w:t>
      </w:r>
      <w:r w:rsidR="00C75415" w:rsidRPr="00E943EA">
        <w:rPr>
          <w:color w:val="00B0F0"/>
        </w:rPr>
        <w:t>a</w:t>
      </w:r>
      <w:r w:rsidR="00C75415">
        <w:t xml:space="preserve"> </w:t>
      </w:r>
      <w:r w:rsidRPr="0048482F">
        <w:t>different UE antenna port</w:t>
      </w:r>
      <w:r w:rsidRPr="00E943EA">
        <w:rPr>
          <w:strike/>
          <w:color w:val="00B0F0"/>
        </w:rPr>
        <w:t>s</w:t>
      </w:r>
      <w:r w:rsidRPr="0048482F">
        <w:t>,</w:t>
      </w:r>
      <w:r w:rsidR="00E943EA">
        <w:t xml:space="preserve"> </w:t>
      </w:r>
      <w:r w:rsidR="00E943EA" w:rsidRPr="00E943EA">
        <w:rPr>
          <w:color w:val="FF0000"/>
        </w:rPr>
        <w:t>or</w:t>
      </w:r>
    </w:p>
    <w:p w14:paraId="5B9F23FB" w14:textId="04F62C40" w:rsidR="00C75415" w:rsidRDefault="00902CF3" w:rsidP="00902CF3">
      <w:pPr>
        <w:pStyle w:val="B1"/>
        <w:rPr>
          <w:color w:val="FF0000"/>
        </w:rPr>
      </w:pPr>
      <w:r>
        <w:t>-</w:t>
      </w:r>
      <w:r>
        <w:tab/>
      </w:r>
      <w:r w:rsidRPr="00B9238E">
        <w:rPr>
          <w:color w:val="FF0000"/>
        </w:rPr>
        <w:t xml:space="preserve">SRS </w:t>
      </w:r>
      <w:r w:rsidR="00B9238E" w:rsidRPr="00B9238E">
        <w:rPr>
          <w:color w:val="FF0000"/>
        </w:rPr>
        <w:t xml:space="preserve">resource </w:t>
      </w:r>
      <w:r w:rsidRPr="00B9238E">
        <w:rPr>
          <w:color w:val="FF0000"/>
        </w:rPr>
        <w:t xml:space="preserve">set with </w:t>
      </w:r>
      <w:r w:rsidR="00E3666F">
        <w:rPr>
          <w:color w:val="FF0000"/>
        </w:rPr>
        <w:t xml:space="preserve">one </w:t>
      </w:r>
      <w:r w:rsidRPr="00B9238E">
        <w:rPr>
          <w:color w:val="FF0000"/>
        </w:rPr>
        <w:t>SRS resource</w:t>
      </w:r>
      <w:r w:rsidR="00E943EA">
        <w:rPr>
          <w:color w:val="FF0000"/>
        </w:rPr>
        <w:t>,</w:t>
      </w:r>
      <w:r w:rsidR="00C75415">
        <w:rPr>
          <w:color w:val="FF0000"/>
        </w:rPr>
        <w:t xml:space="preserve"> </w:t>
      </w:r>
      <w:r w:rsidR="00E943EA">
        <w:rPr>
          <w:color w:val="FF0000"/>
        </w:rPr>
        <w:t xml:space="preserve">where </w:t>
      </w:r>
      <w:r w:rsidR="00E3666F">
        <w:rPr>
          <w:color w:val="FF0000"/>
        </w:rPr>
        <w:t xml:space="preserve">the number of SRS ports </w:t>
      </w:r>
      <w:r w:rsidR="00E943EA">
        <w:rPr>
          <w:color w:val="FF0000"/>
        </w:rPr>
        <w:t xml:space="preserve">is </w:t>
      </w:r>
      <w:r w:rsidR="00C75415">
        <w:rPr>
          <w:color w:val="FF0000"/>
        </w:rPr>
        <w:t xml:space="preserve">equal to </w:t>
      </w:r>
      <w:r w:rsidR="007E1EB8">
        <w:rPr>
          <w:color w:val="FF0000"/>
        </w:rPr>
        <w:t>1, 2, or 4</w:t>
      </w:r>
    </w:p>
    <w:p w14:paraId="66BFE554" w14:textId="5FE086F1" w:rsidR="00902CF3" w:rsidRDefault="00902CF3" w:rsidP="00902CF3">
      <w:pPr>
        <w:rPr>
          <w:color w:val="000000"/>
        </w:rPr>
      </w:pPr>
      <w:r w:rsidRPr="0048482F">
        <w:rPr>
          <w:color w:val="000000"/>
        </w:rPr>
        <w:t>and a guard period</w:t>
      </w:r>
      <w:r>
        <w:rPr>
          <w:color w:val="000000"/>
        </w:rPr>
        <w:t xml:space="preserve"> </w:t>
      </w:r>
      <w:r w:rsidR="00E943EA" w:rsidRPr="00F709FB">
        <w:rPr>
          <w:color w:val="00B0F0"/>
        </w:rPr>
        <w:t>of Y symbols,</w:t>
      </w:r>
      <w:r w:rsidR="00E943EA" w:rsidRPr="00E943EA">
        <w:rPr>
          <w:color w:val="FF0000"/>
        </w:rPr>
        <w:t xml:space="preserve"> </w:t>
      </w:r>
      <w:r w:rsidRPr="00767FDF">
        <w:rPr>
          <w:color w:val="000000"/>
        </w:rPr>
        <w:t>where UE does not transmit any other signal</w:t>
      </w:r>
      <w:r w:rsidRPr="0048482F">
        <w:rPr>
          <w:color w:val="000000"/>
        </w:rPr>
        <w:t xml:space="preserve"> </w:t>
      </w:r>
      <w:r w:rsidRPr="00F709FB">
        <w:rPr>
          <w:strike/>
          <w:color w:val="00B0F0"/>
        </w:rPr>
        <w:t xml:space="preserve">of </w:t>
      </w:r>
      <w:r w:rsidRPr="00F709FB">
        <w:rPr>
          <w:i/>
          <w:strike/>
          <w:color w:val="00B0F0"/>
        </w:rPr>
        <w:t>Y</w:t>
      </w:r>
      <w:r w:rsidRPr="00F709FB">
        <w:rPr>
          <w:strike/>
          <w:color w:val="00B0F0"/>
        </w:rPr>
        <w:t xml:space="preserve"> symbols</w:t>
      </w:r>
      <w:r w:rsidRPr="00F709FB">
        <w:rPr>
          <w:color w:val="00B0F0"/>
        </w:rPr>
        <w:t xml:space="preserve"> </w:t>
      </w:r>
      <w:r w:rsidRPr="0048482F">
        <w:rPr>
          <w:color w:val="000000"/>
        </w:rPr>
        <w:t xml:space="preserve">in-between the SRS resources </w:t>
      </w:r>
      <w:r w:rsidR="00E943EA" w:rsidRPr="00E943EA">
        <w:rPr>
          <w:color w:val="FF0000"/>
        </w:rPr>
        <w:t xml:space="preserve">of the set, </w:t>
      </w:r>
      <w:r w:rsidRPr="0048482F">
        <w:rPr>
          <w:color w:val="000000"/>
        </w:rPr>
        <w:t>is used in case the SRS resources are transmitted in the same slot.</w:t>
      </w:r>
    </w:p>
    <w:p w14:paraId="2DA07951" w14:textId="2B7A1432" w:rsidR="00902CF3" w:rsidRPr="00902CF3" w:rsidRDefault="00902CF3" w:rsidP="00902CF3">
      <w:pPr>
        <w:rPr>
          <w:color w:val="000000"/>
        </w:rPr>
      </w:pPr>
      <w:r>
        <w:rPr>
          <w:color w:val="000000"/>
        </w:rPr>
        <w:t xml:space="preserve">The value of </w:t>
      </w:r>
      <w:r w:rsidRPr="00564D71">
        <w:rPr>
          <w:i/>
          <w:color w:val="000000"/>
        </w:rPr>
        <w:t>Y</w:t>
      </w:r>
      <w:r>
        <w:rPr>
          <w:color w:val="000000"/>
        </w:rPr>
        <w:t xml:space="preserve"> is defined by Table 6.2.1.2-1.</w:t>
      </w:r>
    </w:p>
    <w:p w14:paraId="3C64AE35" w14:textId="339EF525" w:rsidR="00902CF3" w:rsidRDefault="00902CF3" w:rsidP="000738D0">
      <w:pPr>
        <w:pStyle w:val="BodyText"/>
        <w:rPr>
          <w:highlight w:val="yellow"/>
        </w:rPr>
      </w:pPr>
      <w:r w:rsidRPr="00902CF3">
        <w:rPr>
          <w:highlight w:val="yellow"/>
        </w:rPr>
        <w:t>&gt;&gt;&gt; End text proposal &gt;&gt;&gt;</w:t>
      </w:r>
    </w:p>
    <w:p w14:paraId="1C96D277" w14:textId="11468AB4" w:rsidR="000339A1" w:rsidRDefault="00710960" w:rsidP="00710960">
      <w:pPr>
        <w:pStyle w:val="Heading2"/>
      </w:pPr>
      <w:r>
        <w:t>Comb offset for 4-port SRS resources</w:t>
      </w:r>
    </w:p>
    <w:p w14:paraId="111123A4" w14:textId="355B3863" w:rsidR="00710960" w:rsidRDefault="00710960" w:rsidP="00710960">
      <w:r>
        <w:t xml:space="preserve">In </w:t>
      </w:r>
      <w:r>
        <w:rPr>
          <w:lang w:val="en-US"/>
        </w:rPr>
        <w:t xml:space="preserve">RAN1#92 the following working assumption was reached. </w:t>
      </w:r>
    </w:p>
    <w:p w14:paraId="59910BB1" w14:textId="77777777" w:rsidR="00710960" w:rsidRPr="00404FD4" w:rsidRDefault="00710960" w:rsidP="00710960">
      <w:pPr>
        <w:rPr>
          <w:b/>
          <w:highlight w:val="darkYellow"/>
          <w:lang w:eastAsia="x-none"/>
        </w:rPr>
      </w:pPr>
      <w:r w:rsidRPr="00404FD4">
        <w:rPr>
          <w:b/>
          <w:highlight w:val="darkYellow"/>
          <w:lang w:eastAsia="x-none"/>
        </w:rPr>
        <w:t>Working Assumption</w:t>
      </w:r>
    </w:p>
    <w:p w14:paraId="2C7A5939" w14:textId="2A9CBCE7" w:rsidR="00710960" w:rsidRDefault="00710960" w:rsidP="00DF336D">
      <w:pPr>
        <w:numPr>
          <w:ilvl w:val="0"/>
          <w:numId w:val="27"/>
        </w:numPr>
        <w:overflowPunct/>
        <w:autoSpaceDE/>
        <w:autoSpaceDN/>
        <w:adjustRightInd/>
        <w:ind w:left="714" w:hanging="357"/>
        <w:jc w:val="left"/>
        <w:textAlignment w:val="auto"/>
        <w:rPr>
          <w:lang w:val="en-US" w:eastAsia="x-none"/>
        </w:rPr>
      </w:pPr>
      <w:r w:rsidRPr="00946568">
        <w:rPr>
          <w:lang w:val="en-US" w:eastAsia="x-none"/>
        </w:rPr>
        <w:t>NR supports the case that different ports of one 4-port SRS resource have different comb offsets for comb 2 and 4.</w:t>
      </w:r>
    </w:p>
    <w:p w14:paraId="5A07AA5B" w14:textId="718BBCDB" w:rsidR="008E6BAA" w:rsidRDefault="00DF336D" w:rsidP="008E6BAA">
      <w:pPr>
        <w:overflowPunct/>
        <w:autoSpaceDE/>
        <w:autoSpaceDN/>
        <w:adjustRightInd/>
        <w:spacing w:after="0"/>
        <w:jc w:val="left"/>
        <w:textAlignment w:val="auto"/>
        <w:rPr>
          <w:lang w:val="en-US" w:eastAsia="x-none"/>
        </w:rPr>
      </w:pPr>
      <w:r>
        <w:rPr>
          <w:lang w:val="en-US" w:eastAsia="x-none"/>
        </w:rPr>
        <w:t xml:space="preserve">The main technical argument brought forward was that the feature of orthogonalizing the UE antenna ports </w:t>
      </w:r>
      <w:r w:rsidR="00635721">
        <w:rPr>
          <w:lang w:val="en-US" w:eastAsia="x-none"/>
        </w:rPr>
        <w:t xml:space="preserve">not only with cyclic shifts but also </w:t>
      </w:r>
      <w:r>
        <w:rPr>
          <w:lang w:val="en-US" w:eastAsia="x-none"/>
        </w:rPr>
        <w:t xml:space="preserve">with comb offsets is supported in LTE. </w:t>
      </w:r>
      <w:r w:rsidR="00635721">
        <w:rPr>
          <w:lang w:val="en-US" w:eastAsia="x-none"/>
        </w:rPr>
        <w:t>This allows for improved channel estimation, particularly for low load and high SNR scenarios</w:t>
      </w:r>
      <w:r w:rsidR="00447A8F">
        <w:rPr>
          <w:lang w:val="en-US" w:eastAsia="x-none"/>
        </w:rPr>
        <w:t>, which is crucial for reaping the performance potential of e.g. the reciprocity-based DL precoding use case. Hence, we propose to confirm the working assumption and support this feature also in NR</w:t>
      </w:r>
      <w:r w:rsidR="008E6BAA">
        <w:rPr>
          <w:lang w:val="en-US" w:eastAsia="x-none"/>
        </w:rPr>
        <w:t>.</w:t>
      </w:r>
    </w:p>
    <w:p w14:paraId="6F0F9E36" w14:textId="77777777" w:rsidR="008E6BAA" w:rsidRPr="00946568" w:rsidRDefault="008E6BAA" w:rsidP="008E6BAA">
      <w:pPr>
        <w:overflowPunct/>
        <w:autoSpaceDE/>
        <w:autoSpaceDN/>
        <w:adjustRightInd/>
        <w:spacing w:after="0"/>
        <w:jc w:val="left"/>
        <w:textAlignment w:val="auto"/>
        <w:rPr>
          <w:lang w:val="en-US" w:eastAsia="x-none"/>
        </w:rPr>
      </w:pPr>
    </w:p>
    <w:p w14:paraId="3BD12891" w14:textId="56EDC4EC" w:rsidR="00710960" w:rsidRPr="008E6BAA" w:rsidRDefault="00D8155E" w:rsidP="00710960">
      <w:pPr>
        <w:pStyle w:val="Proposal"/>
        <w:rPr>
          <w:lang w:val="en-US"/>
        </w:rPr>
      </w:pPr>
      <w:bookmarkStart w:id="62" w:name="_Hlk510793118"/>
      <w:bookmarkStart w:id="63" w:name="_Toc510779040"/>
      <w:r>
        <w:rPr>
          <w:lang w:val="en-US"/>
        </w:rPr>
        <w:t xml:space="preserve">Confirm the working assumption that </w:t>
      </w:r>
      <w:r w:rsidR="008E6BAA" w:rsidRPr="008E6BAA">
        <w:rPr>
          <w:lang w:val="en-US"/>
        </w:rPr>
        <w:t>NR supports the case that different ports of one 4-port SRS resource have different comb offsets for comb 2 and 4.</w:t>
      </w:r>
      <w:bookmarkEnd w:id="63"/>
    </w:p>
    <w:bookmarkEnd w:id="62"/>
    <w:p w14:paraId="4A0E4B21" w14:textId="620BCEB6" w:rsidR="00B2442C" w:rsidRDefault="00ED7EFC" w:rsidP="00B2442C">
      <w:pPr>
        <w:pStyle w:val="Heading2"/>
      </w:pPr>
      <w:r>
        <w:t>On a</w:t>
      </w:r>
      <w:r w:rsidR="00B2442C" w:rsidRPr="00B2442C">
        <w:t>dditional SRS periodicities</w:t>
      </w:r>
    </w:p>
    <w:p w14:paraId="69852929" w14:textId="19086298" w:rsidR="00475687" w:rsidRDefault="004526F3" w:rsidP="00475687">
      <w:pPr>
        <w:pStyle w:val="BodyText"/>
        <w:rPr>
          <w:lang w:val="en-US"/>
        </w:rPr>
      </w:pPr>
      <w:r>
        <w:t xml:space="preserve">In </w:t>
      </w:r>
      <w:r>
        <w:fldChar w:fldCharType="begin"/>
      </w:r>
      <w:r>
        <w:instrText xml:space="preserve"> REF _Ref510771387 \r \h </w:instrText>
      </w:r>
      <w:r>
        <w:fldChar w:fldCharType="separate"/>
      </w:r>
      <w:r>
        <w:t>[5]</w:t>
      </w:r>
      <w:r>
        <w:fldChar w:fldCharType="end"/>
      </w:r>
      <w:r>
        <w:t xml:space="preserve"> we show that</w:t>
      </w:r>
      <w:r>
        <w:rPr>
          <w:lang w:val="en-US"/>
        </w:rPr>
        <w:t xml:space="preserve"> only DL/UL </w:t>
      </w:r>
      <w:r w:rsidR="00D8155E">
        <w:rPr>
          <w:lang w:val="en-US"/>
        </w:rPr>
        <w:t xml:space="preserve">assignment </w:t>
      </w:r>
      <w:r>
        <w:rPr>
          <w:lang w:val="en-US"/>
        </w:rPr>
        <w:t>periodicities in the set {1, 2, 4, 5, 8, 10, 16, 20, 32, 40, 64, 80, 160, and 320} slots are compatible with SSB transmission. All these periodicity values are already supported for SRS, hence we propose:</w:t>
      </w:r>
    </w:p>
    <w:p w14:paraId="3489035B" w14:textId="4EF30064" w:rsidR="00475687" w:rsidRDefault="00475687" w:rsidP="00406022">
      <w:pPr>
        <w:pStyle w:val="Proposal"/>
        <w:rPr>
          <w:lang w:val="en-US"/>
        </w:rPr>
      </w:pPr>
      <w:bookmarkStart w:id="64" w:name="_Hlk510785376"/>
      <w:bookmarkStart w:id="65" w:name="_Toc506558804"/>
      <w:bookmarkStart w:id="66" w:name="_Toc506558839"/>
      <w:bookmarkStart w:id="67" w:name="_Toc506560691"/>
      <w:bookmarkStart w:id="68" w:name="_Toc509931091"/>
      <w:bookmarkStart w:id="69" w:name="_Toc509931203"/>
      <w:bookmarkStart w:id="70" w:name="_Toc509931256"/>
      <w:bookmarkStart w:id="71" w:name="_Toc510089287"/>
      <w:bookmarkStart w:id="72" w:name="_Toc510095668"/>
      <w:bookmarkStart w:id="73" w:name="_Toc510101528"/>
      <w:bookmarkStart w:id="74" w:name="_Toc510101531"/>
      <w:bookmarkStart w:id="75" w:name="_Toc510101555"/>
      <w:bookmarkStart w:id="76" w:name="_Toc510105896"/>
      <w:bookmarkStart w:id="77" w:name="_Toc510106160"/>
      <w:bookmarkStart w:id="78" w:name="_Toc510106172"/>
      <w:bookmarkStart w:id="79" w:name="_Toc510106521"/>
      <w:bookmarkStart w:id="80" w:name="_Toc510109281"/>
      <w:bookmarkStart w:id="81" w:name="_Toc510109386"/>
      <w:bookmarkStart w:id="82" w:name="_Toc510109456"/>
      <w:bookmarkStart w:id="83" w:name="_Toc510109796"/>
      <w:bookmarkStart w:id="84" w:name="_Toc510779041"/>
      <w:r>
        <w:rPr>
          <w:lang w:val="en-US"/>
        </w:rPr>
        <w:t xml:space="preserve">For periodic/semi-persistent SRS, no further periodicities and slot offsets need to be </w:t>
      </w:r>
      <w:bookmarkEnd w:id="64"/>
      <w:r>
        <w:rPr>
          <w:lang w:val="en-US"/>
        </w:rPr>
        <w:t>defined for Rel-15.</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6327F3C" w14:textId="77777777" w:rsidR="00C01F33" w:rsidRPr="00CE0424" w:rsidRDefault="00C01F33" w:rsidP="003A0E41">
      <w:pPr>
        <w:pStyle w:val="Heading1"/>
      </w:pPr>
      <w:r w:rsidRPr="00CE0424">
        <w:lastRenderedPageBreak/>
        <w:t>Conclusion</w:t>
      </w:r>
      <w:r w:rsidR="00AE2FEB">
        <w:t>s</w:t>
      </w:r>
    </w:p>
    <w:p w14:paraId="2EAF921B" w14:textId="77777777" w:rsidR="00ED7EFC" w:rsidRDefault="00ED7EFC" w:rsidP="00ED7EFC">
      <w:pPr>
        <w:pStyle w:val="BodyText"/>
      </w:pPr>
      <w:r>
        <w:t>In this contribution, we made the following observations</w:t>
      </w:r>
      <w:r w:rsidRPr="00CE0424">
        <w:t>:</w:t>
      </w:r>
    </w:p>
    <w:p w14:paraId="707D35CB" w14:textId="05BBDD81" w:rsidR="00406022" w:rsidRPr="00406022" w:rsidRDefault="00406022" w:rsidP="00406022">
      <w:pPr>
        <w:pStyle w:val="Observation"/>
      </w:pPr>
      <w:r w:rsidRPr="001A77C2">
        <w:t xml:space="preserve">The parameter </w:t>
      </w:r>
      <w:r w:rsidRPr="00406022">
        <w:rPr>
          <w:i/>
        </w:rPr>
        <w:t>SRS-SetUse</w:t>
      </w:r>
      <w:r w:rsidRPr="001A77C2">
        <w:t xml:space="preserve"> </w:t>
      </w:r>
      <w:r>
        <w:t xml:space="preserve">does not have a configuration well-suited to </w:t>
      </w:r>
      <w:r w:rsidRPr="001A77C2">
        <w:t xml:space="preserve">support </w:t>
      </w:r>
      <w:r>
        <w:t xml:space="preserve">sounding of the </w:t>
      </w:r>
      <w:r w:rsidRPr="001A77C2">
        <w:t xml:space="preserve">full </w:t>
      </w:r>
      <w:r>
        <w:t>MIMO</w:t>
      </w:r>
      <w:r w:rsidRPr="001A77C2">
        <w:t xml:space="preserve"> </w:t>
      </w:r>
      <w:r>
        <w:t>channel</w:t>
      </w:r>
      <w:r w:rsidRPr="001A77C2">
        <w:t xml:space="preserve"> when T = R for the use case of reciprocity-based DL precoding.</w:t>
      </w:r>
    </w:p>
    <w:p w14:paraId="60E78690" w14:textId="3EEBA09B" w:rsidR="00ED7EFC" w:rsidRDefault="00ED7EFC" w:rsidP="00ED7EFC">
      <w:pPr>
        <w:pStyle w:val="BodyText"/>
      </w:pPr>
      <w:r>
        <w:t>We made the following proposals:</w:t>
      </w:r>
    </w:p>
    <w:p w14:paraId="77B3548F" w14:textId="77777777" w:rsidR="00D8155E" w:rsidRDefault="00ED7EFC">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D8155E">
        <w:t>Proposal 1</w:t>
      </w:r>
      <w:r w:rsidR="00D8155E">
        <w:rPr>
          <w:rFonts w:asciiTheme="minorHAnsi" w:eastAsiaTheme="minorEastAsia" w:hAnsiTheme="minorHAnsi" w:cstheme="minorBidi"/>
          <w:b w:val="0"/>
          <w:sz w:val="22"/>
          <w:lang w:eastAsia="en-US"/>
        </w:rPr>
        <w:tab/>
      </w:r>
      <w:r w:rsidR="00D8155E">
        <w:t xml:space="preserve">To avoid triggering an SRS resource set(s) when the SRS request field in DCI indicates “no triggering,” change the value range of the RRC parameter </w:t>
      </w:r>
      <w:r w:rsidR="00D8155E" w:rsidRPr="00E271C4">
        <w:rPr>
          <w:i/>
        </w:rPr>
        <w:t>aperiodicSRS-ResourceTrigger to be 1 .. 3 instead of 0 .. 3.</w:t>
      </w:r>
    </w:p>
    <w:p w14:paraId="35BFF2AD" w14:textId="77777777" w:rsidR="00D8155E" w:rsidRDefault="00D8155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To specify the mapping between the codepoints of the SRS request field in DCI and the triggered SRS resource set(s) fill in the missing entries of Table 7.3.1.1.2-24 in a manner consistent with the allowed values of the RRC parameter </w:t>
      </w:r>
      <w:r w:rsidRPr="00E271C4">
        <w:rPr>
          <w:i/>
        </w:rPr>
        <w:t>aperiodicSRS-ResourceTrigger.</w:t>
      </w:r>
    </w:p>
    <w:p w14:paraId="1FCDB316" w14:textId="77777777" w:rsidR="00D8155E" w:rsidRDefault="00D8155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To avoid duplication between 38.212 and 38.214 of the table mapping the codepoints of the SRS request field in DCI to the triggered aperiodic SRS resource set(s), remove Table 6.2.1-1 from 38.214.</w:t>
      </w:r>
    </w:p>
    <w:p w14:paraId="315C1D79" w14:textId="77777777" w:rsidR="00D8155E" w:rsidRDefault="00D8155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Further discuss aligning 38.212, 38.213, and 38.331 for triggering of aperiodic SRS resource set(s) with DCI format 2_3.</w:t>
      </w:r>
    </w:p>
    <w:p w14:paraId="35E37390" w14:textId="77777777" w:rsidR="00D8155E" w:rsidRDefault="00D8155E">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To support reciprocity-based DL precoding, extend the </w:t>
      </w:r>
      <w:r w:rsidRPr="00E271C4">
        <w:rPr>
          <w:i/>
        </w:rPr>
        <w:t>SRS-SetUse</w:t>
      </w:r>
      <w:r>
        <w:t xml:space="preserve"> = ‘AntennaSwitching’ case to allow configuration of an SRS set with a single SRS resource with 1, 2, or 4 SRS ports. This proposal is NOT RRC-impacting.</w:t>
      </w:r>
    </w:p>
    <w:p w14:paraId="71D53586" w14:textId="77777777" w:rsidR="00D8155E" w:rsidRDefault="00D8155E">
      <w:pPr>
        <w:pStyle w:val="TOC1"/>
        <w:rPr>
          <w:rFonts w:asciiTheme="minorHAnsi" w:eastAsiaTheme="minorEastAsia" w:hAnsiTheme="minorHAnsi" w:cstheme="minorBidi"/>
          <w:b w:val="0"/>
          <w:sz w:val="22"/>
          <w:lang w:eastAsia="en-US"/>
        </w:rPr>
      </w:pPr>
      <w:r w:rsidRPr="00E271C4">
        <w:t>Proposal 6</w:t>
      </w:r>
      <w:r>
        <w:rPr>
          <w:rFonts w:asciiTheme="minorHAnsi" w:eastAsiaTheme="minorEastAsia" w:hAnsiTheme="minorHAnsi" w:cstheme="minorBidi"/>
          <w:b w:val="0"/>
          <w:sz w:val="22"/>
          <w:lang w:eastAsia="en-US"/>
        </w:rPr>
        <w:tab/>
      </w:r>
      <w:r w:rsidRPr="00E271C4">
        <w:t>Confirm the working assumption that NR supports the case that different ports of one 4-port SRS resource have different comb offsets for comb 2 and 4.</w:t>
      </w:r>
    </w:p>
    <w:p w14:paraId="1B734A32" w14:textId="77777777" w:rsidR="00D8155E" w:rsidRDefault="00D8155E">
      <w:pPr>
        <w:pStyle w:val="TOC1"/>
        <w:rPr>
          <w:rFonts w:asciiTheme="minorHAnsi" w:eastAsiaTheme="minorEastAsia" w:hAnsiTheme="minorHAnsi" w:cstheme="minorBidi"/>
          <w:b w:val="0"/>
          <w:sz w:val="22"/>
          <w:lang w:eastAsia="en-US"/>
        </w:rPr>
      </w:pPr>
      <w:r w:rsidRPr="00E271C4">
        <w:t>Proposal 7</w:t>
      </w:r>
      <w:r>
        <w:rPr>
          <w:rFonts w:asciiTheme="minorHAnsi" w:eastAsiaTheme="minorEastAsia" w:hAnsiTheme="minorHAnsi" w:cstheme="minorBidi"/>
          <w:b w:val="0"/>
          <w:sz w:val="22"/>
          <w:lang w:eastAsia="en-US"/>
        </w:rPr>
        <w:tab/>
      </w:r>
      <w:r w:rsidRPr="00E271C4">
        <w:t>For periodic/semi-persistent SRS, no further periodicities and slot offsets need to be defined for Rel-15.</w:t>
      </w:r>
    </w:p>
    <w:p w14:paraId="60B357CF" w14:textId="29DF5457" w:rsidR="00C01F33" w:rsidRPr="00790B99" w:rsidRDefault="00ED7EFC" w:rsidP="00ED7EFC">
      <w:pPr>
        <w:pStyle w:val="BodyText"/>
        <w:rPr>
          <w:b/>
          <w:bCs/>
        </w:rPr>
      </w:pPr>
      <w:r>
        <w:rPr>
          <w:b/>
          <w:bCs/>
        </w:rPr>
        <w:fldChar w:fldCharType="end"/>
      </w:r>
    </w:p>
    <w:p w14:paraId="5B3C850D" w14:textId="48AD509C" w:rsidR="00F507D1" w:rsidRPr="00CE0424" w:rsidRDefault="00F507D1" w:rsidP="00CE0424">
      <w:pPr>
        <w:pStyle w:val="Heading1"/>
      </w:pPr>
      <w:bookmarkStart w:id="85" w:name="_In-sequence_SDU_delivery"/>
      <w:bookmarkEnd w:id="85"/>
      <w:r w:rsidRPr="00CE0424">
        <w:t>References</w:t>
      </w:r>
    </w:p>
    <w:p w14:paraId="0BAE65A4" w14:textId="77777777" w:rsidR="00862BCA" w:rsidRPr="007C2FC0" w:rsidRDefault="00862BCA" w:rsidP="002A7539">
      <w:pPr>
        <w:pStyle w:val="Reference"/>
        <w:overflowPunct/>
        <w:autoSpaceDE/>
        <w:autoSpaceDN/>
        <w:adjustRightInd/>
        <w:jc w:val="left"/>
        <w:textAlignment w:val="auto"/>
      </w:pPr>
      <w:bookmarkStart w:id="86" w:name="_Ref510106549"/>
      <w:bookmarkStart w:id="87" w:name="_Ref510106182"/>
      <w:r w:rsidRPr="007C2FC0">
        <w:t>R1-180</w:t>
      </w:r>
      <w:r>
        <w:t>3553</w:t>
      </w:r>
      <w:r w:rsidRPr="007C2FC0">
        <w:t>, “</w:t>
      </w:r>
      <w:r w:rsidRPr="002319F2">
        <w:rPr>
          <w:noProof/>
        </w:rPr>
        <w:t>CR to 38.2</w:t>
      </w:r>
      <w:r>
        <w:rPr>
          <w:noProof/>
        </w:rPr>
        <w:t>12</w:t>
      </w:r>
      <w:r w:rsidRPr="002319F2">
        <w:rPr>
          <w:noProof/>
        </w:rPr>
        <w:t xml:space="preserve"> capturing the Jan18 ad-ho</w:t>
      </w:r>
      <w:r>
        <w:rPr>
          <w:noProof/>
        </w:rPr>
        <w:t xml:space="preserve">c and RAN1#92 </w:t>
      </w:r>
      <w:r w:rsidRPr="002319F2">
        <w:rPr>
          <w:noProof/>
        </w:rPr>
        <w:t>meeting agreements</w:t>
      </w:r>
      <w:r w:rsidRPr="007C2FC0">
        <w:t xml:space="preserve">,” </w:t>
      </w:r>
      <w:r>
        <w:t xml:space="preserve">Huawei, RAN1#92, </w:t>
      </w:r>
      <w:r w:rsidRPr="007C2FC0">
        <w:t>February 2018.</w:t>
      </w:r>
      <w:bookmarkEnd w:id="86"/>
    </w:p>
    <w:p w14:paraId="7D3354DA" w14:textId="77777777" w:rsidR="00862BCA" w:rsidRDefault="00862BCA" w:rsidP="002A7539">
      <w:pPr>
        <w:pStyle w:val="Reference"/>
      </w:pPr>
      <w:bookmarkStart w:id="88" w:name="_Ref506553566"/>
      <w:r>
        <w:t>RP-180479, “Corrections [to 38.331] for EN-DC,” Ericsson, RAN#79, March 2018.</w:t>
      </w:r>
      <w:bookmarkEnd w:id="88"/>
    </w:p>
    <w:p w14:paraId="4272BC4D" w14:textId="5D130387" w:rsidR="002D4F3E" w:rsidRDefault="003556E7" w:rsidP="002A7539">
      <w:pPr>
        <w:pStyle w:val="Reference"/>
      </w:pPr>
      <w:bookmarkStart w:id="89" w:name="_Ref510109421"/>
      <w:r w:rsidRPr="007C2FC0">
        <w:t>R1-180</w:t>
      </w:r>
      <w:r>
        <w:t>3555</w:t>
      </w:r>
      <w:r w:rsidRPr="007C2FC0">
        <w:t>, “</w:t>
      </w:r>
      <w:r w:rsidRPr="002319F2">
        <w:rPr>
          <w:noProof/>
        </w:rPr>
        <w:t>CR to 38.2</w:t>
      </w:r>
      <w:r>
        <w:rPr>
          <w:noProof/>
        </w:rPr>
        <w:t>14</w:t>
      </w:r>
      <w:r w:rsidRPr="002319F2">
        <w:rPr>
          <w:noProof/>
        </w:rPr>
        <w:t xml:space="preserve"> capturing the Jan18 ad-ho</w:t>
      </w:r>
      <w:r>
        <w:rPr>
          <w:noProof/>
        </w:rPr>
        <w:t xml:space="preserve">c and RAN1#92 </w:t>
      </w:r>
      <w:r w:rsidRPr="002319F2">
        <w:rPr>
          <w:noProof/>
        </w:rPr>
        <w:t>meeting agreements</w:t>
      </w:r>
      <w:r w:rsidRPr="007C2FC0">
        <w:t xml:space="preserve">,” </w:t>
      </w:r>
      <w:r>
        <w:t xml:space="preserve">Nokia, RAN1#92, </w:t>
      </w:r>
      <w:r w:rsidRPr="007C2FC0">
        <w:t>February 2018.</w:t>
      </w:r>
      <w:bookmarkEnd w:id="87"/>
      <w:bookmarkEnd w:id="89"/>
    </w:p>
    <w:p w14:paraId="7A695269" w14:textId="3D23600D" w:rsidR="00862BCA" w:rsidRDefault="00B738C5" w:rsidP="002A7539">
      <w:pPr>
        <w:pStyle w:val="Reference"/>
        <w:overflowPunct/>
        <w:autoSpaceDE/>
        <w:autoSpaceDN/>
        <w:adjustRightInd/>
        <w:jc w:val="left"/>
        <w:textAlignment w:val="auto"/>
      </w:pPr>
      <w:bookmarkStart w:id="90" w:name="_Ref506553144"/>
      <w:bookmarkStart w:id="91" w:name="_Ref503285570"/>
      <w:bookmarkStart w:id="92" w:name="_Ref510106276"/>
      <w:r w:rsidRPr="007C2FC0">
        <w:t>R1-180</w:t>
      </w:r>
      <w:r>
        <w:t>3552</w:t>
      </w:r>
      <w:r w:rsidRPr="007C2FC0">
        <w:t>, “</w:t>
      </w:r>
      <w:r w:rsidRPr="002319F2">
        <w:rPr>
          <w:noProof/>
        </w:rPr>
        <w:t>CR to 38.211 capturing the Jan18 ad-ho</w:t>
      </w:r>
      <w:r>
        <w:rPr>
          <w:noProof/>
        </w:rPr>
        <w:t xml:space="preserve">c and RAN1#92 </w:t>
      </w:r>
      <w:r w:rsidRPr="002319F2">
        <w:rPr>
          <w:noProof/>
        </w:rPr>
        <w:t>meeting agreements</w:t>
      </w:r>
      <w:r w:rsidRPr="007C2FC0">
        <w:t xml:space="preserve">,” </w:t>
      </w:r>
      <w:r>
        <w:t xml:space="preserve">Ericsson, RAN1#92, </w:t>
      </w:r>
      <w:r w:rsidRPr="007C2FC0">
        <w:t>February 2018.</w:t>
      </w:r>
      <w:bookmarkEnd w:id="90"/>
      <w:bookmarkEnd w:id="91"/>
      <w:bookmarkEnd w:id="92"/>
    </w:p>
    <w:p w14:paraId="1128AB11" w14:textId="13150B9D" w:rsidR="00C1755A" w:rsidRPr="007227E3" w:rsidRDefault="007227E3" w:rsidP="002A7539">
      <w:pPr>
        <w:pStyle w:val="Reference"/>
        <w:rPr>
          <w:lang w:val="en-US"/>
        </w:rPr>
      </w:pPr>
      <w:bookmarkStart w:id="93" w:name="_Ref510771387"/>
      <w:r w:rsidRPr="00A819DC">
        <w:rPr>
          <w:lang w:val="en-US"/>
        </w:rPr>
        <w:t>R1-18049</w:t>
      </w:r>
      <w:r>
        <w:rPr>
          <w:lang w:val="en-US"/>
        </w:rPr>
        <w:t>99</w:t>
      </w:r>
      <w:r w:rsidRPr="00A819DC">
        <w:rPr>
          <w:lang w:val="en-US"/>
        </w:rPr>
        <w:t>, “</w:t>
      </w:r>
      <w:r w:rsidRPr="007227E3">
        <w:rPr>
          <w:lang w:val="en-US"/>
        </w:rPr>
        <w:t>On additional periodicities for CSI-RS and SRS</w:t>
      </w:r>
      <w:r w:rsidRPr="00A819DC">
        <w:rPr>
          <w:lang w:val="en-US"/>
        </w:rPr>
        <w:t>,” Ericsson, RAN1#92b, April 2018</w:t>
      </w:r>
      <w:bookmarkEnd w:id="93"/>
    </w:p>
    <w:sectPr w:rsidR="00C1755A" w:rsidRPr="007227E3"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9C735" w14:textId="77777777" w:rsidR="00B10989" w:rsidRDefault="00B10989">
      <w:r>
        <w:separator/>
      </w:r>
    </w:p>
  </w:endnote>
  <w:endnote w:type="continuationSeparator" w:id="0">
    <w:p w14:paraId="2F600F3F" w14:textId="77777777" w:rsidR="00B10989" w:rsidRDefault="00B10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33CF5D18" w:rsidR="00C9313C" w:rsidRDefault="00C931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155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155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9CC0B" w14:textId="77777777" w:rsidR="00B10989" w:rsidRDefault="00B10989">
      <w:r>
        <w:separator/>
      </w:r>
    </w:p>
  </w:footnote>
  <w:footnote w:type="continuationSeparator" w:id="0">
    <w:p w14:paraId="7387696A" w14:textId="77777777" w:rsidR="00B10989" w:rsidRDefault="00B10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9313C" w:rsidRDefault="00C9313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C7EF8"/>
    <w:multiLevelType w:val="hybridMultilevel"/>
    <w:tmpl w:val="9B6E54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71448"/>
    <w:multiLevelType w:val="hybridMultilevel"/>
    <w:tmpl w:val="8B84F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671CC7"/>
    <w:multiLevelType w:val="hybridMultilevel"/>
    <w:tmpl w:val="80665174"/>
    <w:lvl w:ilvl="0" w:tplc="54BAC506">
      <w:start w:val="1"/>
      <w:numFmt w:val="bullet"/>
      <w:lvlText w:val="•"/>
      <w:lvlJc w:val="left"/>
      <w:pPr>
        <w:tabs>
          <w:tab w:val="num" w:pos="720"/>
        </w:tabs>
        <w:ind w:left="720" w:hanging="360"/>
      </w:pPr>
      <w:rPr>
        <w:rFonts w:ascii="Arial" w:hAnsi="Arial" w:hint="default"/>
      </w:rPr>
    </w:lvl>
    <w:lvl w:ilvl="1" w:tplc="EF58BBC4" w:tentative="1">
      <w:start w:val="1"/>
      <w:numFmt w:val="bullet"/>
      <w:lvlText w:val="•"/>
      <w:lvlJc w:val="left"/>
      <w:pPr>
        <w:tabs>
          <w:tab w:val="num" w:pos="1440"/>
        </w:tabs>
        <w:ind w:left="1440" w:hanging="360"/>
      </w:pPr>
      <w:rPr>
        <w:rFonts w:ascii="Arial" w:hAnsi="Arial" w:hint="default"/>
      </w:rPr>
    </w:lvl>
    <w:lvl w:ilvl="2" w:tplc="C9D4863A" w:tentative="1">
      <w:start w:val="1"/>
      <w:numFmt w:val="bullet"/>
      <w:lvlText w:val="•"/>
      <w:lvlJc w:val="left"/>
      <w:pPr>
        <w:tabs>
          <w:tab w:val="num" w:pos="2160"/>
        </w:tabs>
        <w:ind w:left="2160" w:hanging="360"/>
      </w:pPr>
      <w:rPr>
        <w:rFonts w:ascii="Arial" w:hAnsi="Arial" w:hint="default"/>
      </w:rPr>
    </w:lvl>
    <w:lvl w:ilvl="3" w:tplc="DF182938" w:tentative="1">
      <w:start w:val="1"/>
      <w:numFmt w:val="bullet"/>
      <w:lvlText w:val="•"/>
      <w:lvlJc w:val="left"/>
      <w:pPr>
        <w:tabs>
          <w:tab w:val="num" w:pos="2880"/>
        </w:tabs>
        <w:ind w:left="2880" w:hanging="360"/>
      </w:pPr>
      <w:rPr>
        <w:rFonts w:ascii="Arial" w:hAnsi="Arial" w:hint="default"/>
      </w:rPr>
    </w:lvl>
    <w:lvl w:ilvl="4" w:tplc="CE622EF6" w:tentative="1">
      <w:start w:val="1"/>
      <w:numFmt w:val="bullet"/>
      <w:lvlText w:val="•"/>
      <w:lvlJc w:val="left"/>
      <w:pPr>
        <w:tabs>
          <w:tab w:val="num" w:pos="3600"/>
        </w:tabs>
        <w:ind w:left="3600" w:hanging="360"/>
      </w:pPr>
      <w:rPr>
        <w:rFonts w:ascii="Arial" w:hAnsi="Arial" w:hint="default"/>
      </w:rPr>
    </w:lvl>
    <w:lvl w:ilvl="5" w:tplc="1B0CE7FE" w:tentative="1">
      <w:start w:val="1"/>
      <w:numFmt w:val="bullet"/>
      <w:lvlText w:val="•"/>
      <w:lvlJc w:val="left"/>
      <w:pPr>
        <w:tabs>
          <w:tab w:val="num" w:pos="4320"/>
        </w:tabs>
        <w:ind w:left="4320" w:hanging="360"/>
      </w:pPr>
      <w:rPr>
        <w:rFonts w:ascii="Arial" w:hAnsi="Arial" w:hint="default"/>
      </w:rPr>
    </w:lvl>
    <w:lvl w:ilvl="6" w:tplc="A56EF7F4" w:tentative="1">
      <w:start w:val="1"/>
      <w:numFmt w:val="bullet"/>
      <w:lvlText w:val="•"/>
      <w:lvlJc w:val="left"/>
      <w:pPr>
        <w:tabs>
          <w:tab w:val="num" w:pos="5040"/>
        </w:tabs>
        <w:ind w:left="5040" w:hanging="360"/>
      </w:pPr>
      <w:rPr>
        <w:rFonts w:ascii="Arial" w:hAnsi="Arial" w:hint="default"/>
      </w:rPr>
    </w:lvl>
    <w:lvl w:ilvl="7" w:tplc="D1C06744" w:tentative="1">
      <w:start w:val="1"/>
      <w:numFmt w:val="bullet"/>
      <w:lvlText w:val="•"/>
      <w:lvlJc w:val="left"/>
      <w:pPr>
        <w:tabs>
          <w:tab w:val="num" w:pos="5760"/>
        </w:tabs>
        <w:ind w:left="5760" w:hanging="360"/>
      </w:pPr>
      <w:rPr>
        <w:rFonts w:ascii="Arial" w:hAnsi="Arial" w:hint="default"/>
      </w:rPr>
    </w:lvl>
    <w:lvl w:ilvl="8" w:tplc="1CBA6F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004862"/>
    <w:multiLevelType w:val="hybridMultilevel"/>
    <w:tmpl w:val="45B22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cs="Times New Roman" w:hint="default"/>
      </w:rPr>
    </w:lvl>
    <w:lvl w:ilvl="1" w:tplc="BA0AC1D0">
      <w:start w:val="25"/>
      <w:numFmt w:val="bullet"/>
      <w:lvlText w:val="•"/>
      <w:lvlJc w:val="left"/>
      <w:pPr>
        <w:tabs>
          <w:tab w:val="num" w:pos="1440"/>
        </w:tabs>
        <w:ind w:left="1440" w:hanging="360"/>
      </w:pPr>
      <w:rPr>
        <w:rFonts w:ascii="Arial" w:hAnsi="Arial" w:cs="Times New Roman" w:hint="default"/>
      </w:rPr>
    </w:lvl>
    <w:lvl w:ilvl="2" w:tplc="E0BC48F2">
      <w:start w:val="1"/>
      <w:numFmt w:val="bullet"/>
      <w:lvlText w:val="•"/>
      <w:lvlJc w:val="left"/>
      <w:pPr>
        <w:tabs>
          <w:tab w:val="num" w:pos="2160"/>
        </w:tabs>
        <w:ind w:left="2160" w:hanging="360"/>
      </w:pPr>
      <w:rPr>
        <w:rFonts w:ascii="Arial" w:hAnsi="Arial" w:cs="Times New Roman" w:hint="default"/>
      </w:rPr>
    </w:lvl>
    <w:lvl w:ilvl="3" w:tplc="CB96C2F2">
      <w:start w:val="1"/>
      <w:numFmt w:val="bullet"/>
      <w:lvlText w:val="•"/>
      <w:lvlJc w:val="left"/>
      <w:pPr>
        <w:tabs>
          <w:tab w:val="num" w:pos="2880"/>
        </w:tabs>
        <w:ind w:left="2880" w:hanging="360"/>
      </w:pPr>
      <w:rPr>
        <w:rFonts w:ascii="Arial" w:hAnsi="Arial" w:cs="Times New Roman" w:hint="default"/>
      </w:rPr>
    </w:lvl>
    <w:lvl w:ilvl="4" w:tplc="77B6E7A4">
      <w:start w:val="1"/>
      <w:numFmt w:val="bullet"/>
      <w:lvlText w:val="•"/>
      <w:lvlJc w:val="left"/>
      <w:pPr>
        <w:tabs>
          <w:tab w:val="num" w:pos="3600"/>
        </w:tabs>
        <w:ind w:left="3600" w:hanging="360"/>
      </w:pPr>
      <w:rPr>
        <w:rFonts w:ascii="Arial" w:hAnsi="Arial" w:cs="Times New Roman" w:hint="default"/>
      </w:rPr>
    </w:lvl>
    <w:lvl w:ilvl="5" w:tplc="0E7AA782">
      <w:start w:val="1"/>
      <w:numFmt w:val="bullet"/>
      <w:lvlText w:val="•"/>
      <w:lvlJc w:val="left"/>
      <w:pPr>
        <w:tabs>
          <w:tab w:val="num" w:pos="4320"/>
        </w:tabs>
        <w:ind w:left="4320" w:hanging="360"/>
      </w:pPr>
      <w:rPr>
        <w:rFonts w:ascii="Arial" w:hAnsi="Arial" w:cs="Times New Roman" w:hint="default"/>
      </w:rPr>
    </w:lvl>
    <w:lvl w:ilvl="6" w:tplc="B038E04A">
      <w:start w:val="1"/>
      <w:numFmt w:val="bullet"/>
      <w:lvlText w:val="•"/>
      <w:lvlJc w:val="left"/>
      <w:pPr>
        <w:tabs>
          <w:tab w:val="num" w:pos="5040"/>
        </w:tabs>
        <w:ind w:left="5040" w:hanging="360"/>
      </w:pPr>
      <w:rPr>
        <w:rFonts w:ascii="Arial" w:hAnsi="Arial" w:cs="Times New Roman" w:hint="default"/>
      </w:rPr>
    </w:lvl>
    <w:lvl w:ilvl="7" w:tplc="255A43E8">
      <w:start w:val="1"/>
      <w:numFmt w:val="bullet"/>
      <w:lvlText w:val="•"/>
      <w:lvlJc w:val="left"/>
      <w:pPr>
        <w:tabs>
          <w:tab w:val="num" w:pos="5760"/>
        </w:tabs>
        <w:ind w:left="5760" w:hanging="360"/>
      </w:pPr>
      <w:rPr>
        <w:rFonts w:ascii="Arial" w:hAnsi="Arial" w:cs="Times New Roman" w:hint="default"/>
      </w:rPr>
    </w:lvl>
    <w:lvl w:ilvl="8" w:tplc="9306C04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E945F5"/>
    <w:multiLevelType w:val="hybridMultilevel"/>
    <w:tmpl w:val="BDB8D726"/>
    <w:lvl w:ilvl="0" w:tplc="039491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D849DE"/>
    <w:multiLevelType w:val="hybridMultilevel"/>
    <w:tmpl w:val="3C06FAF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8"/>
  </w:num>
  <w:num w:numId="4">
    <w:abstractNumId w:val="19"/>
  </w:num>
  <w:num w:numId="5">
    <w:abstractNumId w:val="11"/>
  </w:num>
  <w:num w:numId="6">
    <w:abstractNumId w:val="20"/>
  </w:num>
  <w:num w:numId="7">
    <w:abstractNumId w:val="25"/>
  </w:num>
  <w:num w:numId="8">
    <w:abstractNumId w:val="12"/>
  </w:num>
  <w:num w:numId="9">
    <w:abstractNumId w:val="9"/>
  </w:num>
  <w:num w:numId="10">
    <w:abstractNumId w:val="2"/>
  </w:num>
  <w:num w:numId="11">
    <w:abstractNumId w:val="1"/>
  </w:num>
  <w:num w:numId="12">
    <w:abstractNumId w:val="0"/>
  </w:num>
  <w:num w:numId="13">
    <w:abstractNumId w:val="24"/>
  </w:num>
  <w:num w:numId="14">
    <w:abstractNumId w:val="15"/>
  </w:num>
  <w:num w:numId="15">
    <w:abstractNumId w:val="17"/>
  </w:num>
  <w:num w:numId="16">
    <w:abstractNumId w:val="13"/>
  </w:num>
  <w:num w:numId="17">
    <w:abstractNumId w:val="26"/>
    <w:lvlOverride w:ilvl="0">
      <w:startOverride w:val="1"/>
    </w:lvlOverride>
    <w:lvlOverride w:ilvl="1"/>
    <w:lvlOverride w:ilvl="2"/>
    <w:lvlOverride w:ilvl="3"/>
    <w:lvlOverride w:ilvl="4"/>
    <w:lvlOverride w:ilvl="5"/>
    <w:lvlOverride w:ilvl="6"/>
    <w:lvlOverride w:ilvl="7"/>
    <w:lvlOverride w:ilvl="8"/>
  </w:num>
  <w:num w:numId="18">
    <w:abstractNumId w:val="14"/>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3">
    <w:abstractNumId w:val="16"/>
  </w:num>
  <w:num w:numId="24">
    <w:abstractNumId w:val="22"/>
  </w:num>
  <w:num w:numId="25">
    <w:abstractNumId w:val="7"/>
  </w:num>
  <w:num w:numId="26">
    <w:abstractNumId w:val="6"/>
  </w:num>
  <w:num w:numId="27">
    <w:abstractNumId w:val="10"/>
  </w:num>
  <w:num w:numId="28">
    <w:abstractNumId w:val="24"/>
    <w:lvlOverride w:ilvl="0">
      <w:startOverride w:val="1"/>
    </w:lvlOverride>
  </w:num>
  <w:num w:numId="29">
    <w:abstractNumId w:val="18"/>
    <w:lvlOverride w:ilvl="0">
      <w:startOverride w:val="6"/>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351"/>
    <w:rsid w:val="00002A37"/>
    <w:rsid w:val="00003F5E"/>
    <w:rsid w:val="00006446"/>
    <w:rsid w:val="00006896"/>
    <w:rsid w:val="00007CDC"/>
    <w:rsid w:val="00011B28"/>
    <w:rsid w:val="00015D15"/>
    <w:rsid w:val="00022AE7"/>
    <w:rsid w:val="0002564D"/>
    <w:rsid w:val="00025ECA"/>
    <w:rsid w:val="00025F5A"/>
    <w:rsid w:val="00030B30"/>
    <w:rsid w:val="000325B8"/>
    <w:rsid w:val="000339A1"/>
    <w:rsid w:val="00034C15"/>
    <w:rsid w:val="00036BA1"/>
    <w:rsid w:val="00042009"/>
    <w:rsid w:val="000422E2"/>
    <w:rsid w:val="00042F22"/>
    <w:rsid w:val="000444EF"/>
    <w:rsid w:val="00052A07"/>
    <w:rsid w:val="00052E93"/>
    <w:rsid w:val="000534E3"/>
    <w:rsid w:val="0005606A"/>
    <w:rsid w:val="00057117"/>
    <w:rsid w:val="000616E7"/>
    <w:rsid w:val="0006487E"/>
    <w:rsid w:val="00065E1A"/>
    <w:rsid w:val="00067497"/>
    <w:rsid w:val="000738D0"/>
    <w:rsid w:val="00073E6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E8C"/>
    <w:rsid w:val="000C2E19"/>
    <w:rsid w:val="000C45A8"/>
    <w:rsid w:val="000C4C24"/>
    <w:rsid w:val="000C5734"/>
    <w:rsid w:val="000D0D07"/>
    <w:rsid w:val="000D4797"/>
    <w:rsid w:val="000D4D2B"/>
    <w:rsid w:val="000E0527"/>
    <w:rsid w:val="000E1E92"/>
    <w:rsid w:val="000E6423"/>
    <w:rsid w:val="000F06D6"/>
    <w:rsid w:val="000F0EB1"/>
    <w:rsid w:val="000F1106"/>
    <w:rsid w:val="000F1BA2"/>
    <w:rsid w:val="000F3BE9"/>
    <w:rsid w:val="000F3F6C"/>
    <w:rsid w:val="000F6DF3"/>
    <w:rsid w:val="000F79E5"/>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FB6"/>
    <w:rsid w:val="00142F68"/>
    <w:rsid w:val="001468F5"/>
    <w:rsid w:val="00151E23"/>
    <w:rsid w:val="001526E0"/>
    <w:rsid w:val="0015373E"/>
    <w:rsid w:val="001551B5"/>
    <w:rsid w:val="00156291"/>
    <w:rsid w:val="001642D1"/>
    <w:rsid w:val="001659C1"/>
    <w:rsid w:val="001707BB"/>
    <w:rsid w:val="00173A8E"/>
    <w:rsid w:val="0018143F"/>
    <w:rsid w:val="001868F8"/>
    <w:rsid w:val="00190AC1"/>
    <w:rsid w:val="0019341A"/>
    <w:rsid w:val="00197DF9"/>
    <w:rsid w:val="001A1987"/>
    <w:rsid w:val="001A2564"/>
    <w:rsid w:val="001A6173"/>
    <w:rsid w:val="001A6CBA"/>
    <w:rsid w:val="001A7776"/>
    <w:rsid w:val="001A77C2"/>
    <w:rsid w:val="001B0D97"/>
    <w:rsid w:val="001B5A5D"/>
    <w:rsid w:val="001C1CE5"/>
    <w:rsid w:val="001C21D1"/>
    <w:rsid w:val="001C3D2A"/>
    <w:rsid w:val="001D3AA2"/>
    <w:rsid w:val="001D51BA"/>
    <w:rsid w:val="001D6342"/>
    <w:rsid w:val="001D6D53"/>
    <w:rsid w:val="001E2560"/>
    <w:rsid w:val="001E2D82"/>
    <w:rsid w:val="001E432C"/>
    <w:rsid w:val="001E58E2"/>
    <w:rsid w:val="001E7AED"/>
    <w:rsid w:val="001F3916"/>
    <w:rsid w:val="001F3C28"/>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099"/>
    <w:rsid w:val="00230765"/>
    <w:rsid w:val="002319E4"/>
    <w:rsid w:val="00235632"/>
    <w:rsid w:val="00235872"/>
    <w:rsid w:val="00241559"/>
    <w:rsid w:val="002435B3"/>
    <w:rsid w:val="002451ED"/>
    <w:rsid w:val="002458EB"/>
    <w:rsid w:val="002500C8"/>
    <w:rsid w:val="00253F47"/>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9F5"/>
    <w:rsid w:val="00286ACD"/>
    <w:rsid w:val="00286B29"/>
    <w:rsid w:val="00287838"/>
    <w:rsid w:val="002907B5"/>
    <w:rsid w:val="0029080E"/>
    <w:rsid w:val="00292EB7"/>
    <w:rsid w:val="00296227"/>
    <w:rsid w:val="00296F44"/>
    <w:rsid w:val="0029777D"/>
    <w:rsid w:val="002A055E"/>
    <w:rsid w:val="002A1D4E"/>
    <w:rsid w:val="002A2869"/>
    <w:rsid w:val="002A7539"/>
    <w:rsid w:val="002B24D6"/>
    <w:rsid w:val="002B65B8"/>
    <w:rsid w:val="002C41E6"/>
    <w:rsid w:val="002D071A"/>
    <w:rsid w:val="002D34B2"/>
    <w:rsid w:val="002D4F3E"/>
    <w:rsid w:val="002D7637"/>
    <w:rsid w:val="002E17F2"/>
    <w:rsid w:val="002E7CAE"/>
    <w:rsid w:val="002F2771"/>
    <w:rsid w:val="002F37A9"/>
    <w:rsid w:val="002F6288"/>
    <w:rsid w:val="00300540"/>
    <w:rsid w:val="00301CE6"/>
    <w:rsid w:val="0030256B"/>
    <w:rsid w:val="0030501F"/>
    <w:rsid w:val="00307BA1"/>
    <w:rsid w:val="00310DDA"/>
    <w:rsid w:val="00311702"/>
    <w:rsid w:val="00311E82"/>
    <w:rsid w:val="00313FD6"/>
    <w:rsid w:val="003143BD"/>
    <w:rsid w:val="003157B7"/>
    <w:rsid w:val="003203ED"/>
    <w:rsid w:val="00322C9F"/>
    <w:rsid w:val="00324D23"/>
    <w:rsid w:val="00326B34"/>
    <w:rsid w:val="00327997"/>
    <w:rsid w:val="00331751"/>
    <w:rsid w:val="00331B7B"/>
    <w:rsid w:val="00334579"/>
    <w:rsid w:val="00335858"/>
    <w:rsid w:val="00335FCE"/>
    <w:rsid w:val="00336BDA"/>
    <w:rsid w:val="003426DD"/>
    <w:rsid w:val="00342BD7"/>
    <w:rsid w:val="00346DB5"/>
    <w:rsid w:val="003477B1"/>
    <w:rsid w:val="00347E78"/>
    <w:rsid w:val="003528BD"/>
    <w:rsid w:val="003556E7"/>
    <w:rsid w:val="00356A14"/>
    <w:rsid w:val="00357380"/>
    <w:rsid w:val="003602D9"/>
    <w:rsid w:val="003604CE"/>
    <w:rsid w:val="00370E47"/>
    <w:rsid w:val="003742AC"/>
    <w:rsid w:val="00374ADB"/>
    <w:rsid w:val="00377CE1"/>
    <w:rsid w:val="003801FC"/>
    <w:rsid w:val="00385BF0"/>
    <w:rsid w:val="00386439"/>
    <w:rsid w:val="003939FF"/>
    <w:rsid w:val="00396412"/>
    <w:rsid w:val="003A0E41"/>
    <w:rsid w:val="003A2223"/>
    <w:rsid w:val="003A2A0F"/>
    <w:rsid w:val="003A45A1"/>
    <w:rsid w:val="003A5B0A"/>
    <w:rsid w:val="003A6BAC"/>
    <w:rsid w:val="003A7EF3"/>
    <w:rsid w:val="003B159C"/>
    <w:rsid w:val="003B369F"/>
    <w:rsid w:val="003B36A3"/>
    <w:rsid w:val="003B7FE5"/>
    <w:rsid w:val="003C11C8"/>
    <w:rsid w:val="003C2702"/>
    <w:rsid w:val="003C2BEB"/>
    <w:rsid w:val="003C7806"/>
    <w:rsid w:val="003D109F"/>
    <w:rsid w:val="003D2478"/>
    <w:rsid w:val="003D3C45"/>
    <w:rsid w:val="003D5B1F"/>
    <w:rsid w:val="003E15FA"/>
    <w:rsid w:val="003E43F9"/>
    <w:rsid w:val="003E55E4"/>
    <w:rsid w:val="003E5E2E"/>
    <w:rsid w:val="003E6E72"/>
    <w:rsid w:val="003E74E3"/>
    <w:rsid w:val="003F05C7"/>
    <w:rsid w:val="003F2CD4"/>
    <w:rsid w:val="003F3138"/>
    <w:rsid w:val="003F6BBE"/>
    <w:rsid w:val="004000E8"/>
    <w:rsid w:val="00402E2B"/>
    <w:rsid w:val="004033B5"/>
    <w:rsid w:val="004050EA"/>
    <w:rsid w:val="0040512B"/>
    <w:rsid w:val="00405CA5"/>
    <w:rsid w:val="00406022"/>
    <w:rsid w:val="00407CD3"/>
    <w:rsid w:val="00410134"/>
    <w:rsid w:val="00410B72"/>
    <w:rsid w:val="00410C99"/>
    <w:rsid w:val="00410F18"/>
    <w:rsid w:val="0041263E"/>
    <w:rsid w:val="00413AAC"/>
    <w:rsid w:val="00413E92"/>
    <w:rsid w:val="00417D75"/>
    <w:rsid w:val="00421105"/>
    <w:rsid w:val="004242F4"/>
    <w:rsid w:val="00427248"/>
    <w:rsid w:val="00437447"/>
    <w:rsid w:val="00441782"/>
    <w:rsid w:val="00441A92"/>
    <w:rsid w:val="00444F56"/>
    <w:rsid w:val="00446488"/>
    <w:rsid w:val="0044675E"/>
    <w:rsid w:val="00447A8F"/>
    <w:rsid w:val="004517AA"/>
    <w:rsid w:val="004526F3"/>
    <w:rsid w:val="00452CAC"/>
    <w:rsid w:val="00457565"/>
    <w:rsid w:val="00457B71"/>
    <w:rsid w:val="004649B0"/>
    <w:rsid w:val="00465ABC"/>
    <w:rsid w:val="004669E2"/>
    <w:rsid w:val="00470C31"/>
    <w:rsid w:val="004734D0"/>
    <w:rsid w:val="00473AC5"/>
    <w:rsid w:val="0047556B"/>
    <w:rsid w:val="00475687"/>
    <w:rsid w:val="00477768"/>
    <w:rsid w:val="00484CBA"/>
    <w:rsid w:val="00492BC5"/>
    <w:rsid w:val="00493226"/>
    <w:rsid w:val="004964F1"/>
    <w:rsid w:val="004A16A0"/>
    <w:rsid w:val="004A16BC"/>
    <w:rsid w:val="004A2B94"/>
    <w:rsid w:val="004A350D"/>
    <w:rsid w:val="004B669A"/>
    <w:rsid w:val="004B7C0C"/>
    <w:rsid w:val="004C3898"/>
    <w:rsid w:val="004C4AAB"/>
    <w:rsid w:val="004C5588"/>
    <w:rsid w:val="004C65DA"/>
    <w:rsid w:val="004D36B1"/>
    <w:rsid w:val="004D7EBD"/>
    <w:rsid w:val="004E2680"/>
    <w:rsid w:val="004E28F9"/>
    <w:rsid w:val="004E395A"/>
    <w:rsid w:val="004E462E"/>
    <w:rsid w:val="004E56DC"/>
    <w:rsid w:val="004E76F4"/>
    <w:rsid w:val="004F0B4E"/>
    <w:rsid w:val="004F0B6C"/>
    <w:rsid w:val="004F2078"/>
    <w:rsid w:val="004F3995"/>
    <w:rsid w:val="004F4DA3"/>
    <w:rsid w:val="004F5D4B"/>
    <w:rsid w:val="005020E7"/>
    <w:rsid w:val="0050381C"/>
    <w:rsid w:val="00506557"/>
    <w:rsid w:val="0050677A"/>
    <w:rsid w:val="00507994"/>
    <w:rsid w:val="005108D8"/>
    <w:rsid w:val="005116F9"/>
    <w:rsid w:val="005153A7"/>
    <w:rsid w:val="00521844"/>
    <w:rsid w:val="005219CF"/>
    <w:rsid w:val="005233B7"/>
    <w:rsid w:val="00534B59"/>
    <w:rsid w:val="00536759"/>
    <w:rsid w:val="00537C62"/>
    <w:rsid w:val="00542D45"/>
    <w:rsid w:val="00546970"/>
    <w:rsid w:val="00554192"/>
    <w:rsid w:val="00554E19"/>
    <w:rsid w:val="00560B2C"/>
    <w:rsid w:val="0056121F"/>
    <w:rsid w:val="005703DB"/>
    <w:rsid w:val="00572505"/>
    <w:rsid w:val="00575DA6"/>
    <w:rsid w:val="00580144"/>
    <w:rsid w:val="00582809"/>
    <w:rsid w:val="00583D71"/>
    <w:rsid w:val="0058798C"/>
    <w:rsid w:val="005900FA"/>
    <w:rsid w:val="005935A4"/>
    <w:rsid w:val="00594505"/>
    <w:rsid w:val="005948C2"/>
    <w:rsid w:val="005954EC"/>
    <w:rsid w:val="00595DCA"/>
    <w:rsid w:val="0059779B"/>
    <w:rsid w:val="005A209A"/>
    <w:rsid w:val="005A5662"/>
    <w:rsid w:val="005A662D"/>
    <w:rsid w:val="005B35D7"/>
    <w:rsid w:val="005B392A"/>
    <w:rsid w:val="005B3AA3"/>
    <w:rsid w:val="005B6F83"/>
    <w:rsid w:val="005C6DD7"/>
    <w:rsid w:val="005C74FB"/>
    <w:rsid w:val="005D0B28"/>
    <w:rsid w:val="005D1602"/>
    <w:rsid w:val="005E0E76"/>
    <w:rsid w:val="005E385F"/>
    <w:rsid w:val="005E53EF"/>
    <w:rsid w:val="005E5B81"/>
    <w:rsid w:val="005E6EC4"/>
    <w:rsid w:val="005F2CB1"/>
    <w:rsid w:val="005F3025"/>
    <w:rsid w:val="005F618C"/>
    <w:rsid w:val="005F70BD"/>
    <w:rsid w:val="0060283C"/>
    <w:rsid w:val="00604381"/>
    <w:rsid w:val="00604F14"/>
    <w:rsid w:val="0061036E"/>
    <w:rsid w:val="00611B83"/>
    <w:rsid w:val="00613257"/>
    <w:rsid w:val="006166DE"/>
    <w:rsid w:val="00617932"/>
    <w:rsid w:val="00620A71"/>
    <w:rsid w:val="00620D80"/>
    <w:rsid w:val="006234A6"/>
    <w:rsid w:val="00630001"/>
    <w:rsid w:val="006309A2"/>
    <w:rsid w:val="006311B3"/>
    <w:rsid w:val="0063284C"/>
    <w:rsid w:val="00635721"/>
    <w:rsid w:val="00636398"/>
    <w:rsid w:val="006368D3"/>
    <w:rsid w:val="006377EC"/>
    <w:rsid w:val="0064151F"/>
    <w:rsid w:val="00641533"/>
    <w:rsid w:val="0064208D"/>
    <w:rsid w:val="00643475"/>
    <w:rsid w:val="0064396A"/>
    <w:rsid w:val="0064624E"/>
    <w:rsid w:val="006507F5"/>
    <w:rsid w:val="00650AB9"/>
    <w:rsid w:val="00655733"/>
    <w:rsid w:val="00655ACD"/>
    <w:rsid w:val="00656A92"/>
    <w:rsid w:val="00656DDE"/>
    <w:rsid w:val="0066011D"/>
    <w:rsid w:val="006607C0"/>
    <w:rsid w:val="006613A6"/>
    <w:rsid w:val="006627A2"/>
    <w:rsid w:val="006634E6"/>
    <w:rsid w:val="006638E9"/>
    <w:rsid w:val="006655EE"/>
    <w:rsid w:val="00667E78"/>
    <w:rsid w:val="00667EE7"/>
    <w:rsid w:val="00670922"/>
    <w:rsid w:val="00670BE1"/>
    <w:rsid w:val="0067218F"/>
    <w:rsid w:val="006741F2"/>
    <w:rsid w:val="00674CC3"/>
    <w:rsid w:val="00675C72"/>
    <w:rsid w:val="00676C78"/>
    <w:rsid w:val="006771F9"/>
    <w:rsid w:val="006776D7"/>
    <w:rsid w:val="00681003"/>
    <w:rsid w:val="00681408"/>
    <w:rsid w:val="006817C9"/>
    <w:rsid w:val="00682506"/>
    <w:rsid w:val="00683ECE"/>
    <w:rsid w:val="0068517E"/>
    <w:rsid w:val="006867CD"/>
    <w:rsid w:val="00686B88"/>
    <w:rsid w:val="00687CFA"/>
    <w:rsid w:val="006942DA"/>
    <w:rsid w:val="00695FC2"/>
    <w:rsid w:val="00696949"/>
    <w:rsid w:val="00697052"/>
    <w:rsid w:val="006A309F"/>
    <w:rsid w:val="006A46FB"/>
    <w:rsid w:val="006A5E28"/>
    <w:rsid w:val="006A618C"/>
    <w:rsid w:val="006A6585"/>
    <w:rsid w:val="006A697B"/>
    <w:rsid w:val="006A7A70"/>
    <w:rsid w:val="006A7AFF"/>
    <w:rsid w:val="006B1816"/>
    <w:rsid w:val="006B2099"/>
    <w:rsid w:val="006B2209"/>
    <w:rsid w:val="006B50CF"/>
    <w:rsid w:val="006C03B8"/>
    <w:rsid w:val="006C5B04"/>
    <w:rsid w:val="006C5EC9"/>
    <w:rsid w:val="006C6059"/>
    <w:rsid w:val="006C7522"/>
    <w:rsid w:val="006D1BCE"/>
    <w:rsid w:val="006D6F08"/>
    <w:rsid w:val="006E062C"/>
    <w:rsid w:val="006E1514"/>
    <w:rsid w:val="006E2288"/>
    <w:rsid w:val="006E28B7"/>
    <w:rsid w:val="006E3310"/>
    <w:rsid w:val="006E4E39"/>
    <w:rsid w:val="006E565E"/>
    <w:rsid w:val="006E673D"/>
    <w:rsid w:val="006E6F50"/>
    <w:rsid w:val="006E7D3B"/>
    <w:rsid w:val="006F12FD"/>
    <w:rsid w:val="006F19AE"/>
    <w:rsid w:val="006F1B70"/>
    <w:rsid w:val="006F341D"/>
    <w:rsid w:val="006F3CDE"/>
    <w:rsid w:val="006F567B"/>
    <w:rsid w:val="006F58D4"/>
    <w:rsid w:val="00702465"/>
    <w:rsid w:val="0070346E"/>
    <w:rsid w:val="00704C41"/>
    <w:rsid w:val="00704EDB"/>
    <w:rsid w:val="00706101"/>
    <w:rsid w:val="0070615A"/>
    <w:rsid w:val="00707072"/>
    <w:rsid w:val="00707D61"/>
    <w:rsid w:val="00710960"/>
    <w:rsid w:val="00712287"/>
    <w:rsid w:val="00712772"/>
    <w:rsid w:val="007148D3"/>
    <w:rsid w:val="00715B9A"/>
    <w:rsid w:val="007227E3"/>
    <w:rsid w:val="00726EA6"/>
    <w:rsid w:val="00727208"/>
    <w:rsid w:val="00727680"/>
    <w:rsid w:val="007348B1"/>
    <w:rsid w:val="007362A6"/>
    <w:rsid w:val="00736D7D"/>
    <w:rsid w:val="00737FB0"/>
    <w:rsid w:val="00740E58"/>
    <w:rsid w:val="007445A0"/>
    <w:rsid w:val="0074524B"/>
    <w:rsid w:val="00747D8B"/>
    <w:rsid w:val="0075060A"/>
    <w:rsid w:val="00751228"/>
    <w:rsid w:val="007571E1"/>
    <w:rsid w:val="007604B2"/>
    <w:rsid w:val="00765281"/>
    <w:rsid w:val="00766BAD"/>
    <w:rsid w:val="007679B0"/>
    <w:rsid w:val="007755F2"/>
    <w:rsid w:val="00776971"/>
    <w:rsid w:val="00777466"/>
    <w:rsid w:val="00777D37"/>
    <w:rsid w:val="0078177E"/>
    <w:rsid w:val="0078304C"/>
    <w:rsid w:val="00783673"/>
    <w:rsid w:val="00785490"/>
    <w:rsid w:val="00790B99"/>
    <w:rsid w:val="007925EA"/>
    <w:rsid w:val="00793CD8"/>
    <w:rsid w:val="00795C92"/>
    <w:rsid w:val="00796231"/>
    <w:rsid w:val="007A1CB3"/>
    <w:rsid w:val="007A2A79"/>
    <w:rsid w:val="007A306F"/>
    <w:rsid w:val="007A43A6"/>
    <w:rsid w:val="007A5443"/>
    <w:rsid w:val="007A58A6"/>
    <w:rsid w:val="007A5B38"/>
    <w:rsid w:val="007A62DE"/>
    <w:rsid w:val="007B3D2D"/>
    <w:rsid w:val="007B50AE"/>
    <w:rsid w:val="007B51DF"/>
    <w:rsid w:val="007B5B0D"/>
    <w:rsid w:val="007B7374"/>
    <w:rsid w:val="007C05DD"/>
    <w:rsid w:val="007C3D18"/>
    <w:rsid w:val="007C60BF"/>
    <w:rsid w:val="007C6A07"/>
    <w:rsid w:val="007C75A1"/>
    <w:rsid w:val="007C77A5"/>
    <w:rsid w:val="007D04E5"/>
    <w:rsid w:val="007D2F01"/>
    <w:rsid w:val="007D35CC"/>
    <w:rsid w:val="007D5901"/>
    <w:rsid w:val="007D7526"/>
    <w:rsid w:val="007E1EB8"/>
    <w:rsid w:val="007E4610"/>
    <w:rsid w:val="007E4715"/>
    <w:rsid w:val="007E505B"/>
    <w:rsid w:val="007E7091"/>
    <w:rsid w:val="007F2F74"/>
    <w:rsid w:val="007F61FD"/>
    <w:rsid w:val="007F75D5"/>
    <w:rsid w:val="00803FAE"/>
    <w:rsid w:val="0080605F"/>
    <w:rsid w:val="00806D06"/>
    <w:rsid w:val="00806EE7"/>
    <w:rsid w:val="00807786"/>
    <w:rsid w:val="00811FCB"/>
    <w:rsid w:val="008158D6"/>
    <w:rsid w:val="00817196"/>
    <w:rsid w:val="008235DB"/>
    <w:rsid w:val="00824AB4"/>
    <w:rsid w:val="00825C42"/>
    <w:rsid w:val="00825D25"/>
    <w:rsid w:val="00827D6F"/>
    <w:rsid w:val="00830E92"/>
    <w:rsid w:val="00832DD0"/>
    <w:rsid w:val="008364E3"/>
    <w:rsid w:val="008376AC"/>
    <w:rsid w:val="0084020E"/>
    <w:rsid w:val="008403C1"/>
    <w:rsid w:val="008444E8"/>
    <w:rsid w:val="00844E80"/>
    <w:rsid w:val="00846FE7"/>
    <w:rsid w:val="00851D4D"/>
    <w:rsid w:val="00852A79"/>
    <w:rsid w:val="00856911"/>
    <w:rsid w:val="008607E3"/>
    <w:rsid w:val="00862BCA"/>
    <w:rsid w:val="008677FD"/>
    <w:rsid w:val="008706D4"/>
    <w:rsid w:val="00870F8A"/>
    <w:rsid w:val="008719A4"/>
    <w:rsid w:val="00871D23"/>
    <w:rsid w:val="00874312"/>
    <w:rsid w:val="0087437C"/>
    <w:rsid w:val="00875CD7"/>
    <w:rsid w:val="00876B4D"/>
    <w:rsid w:val="00877F18"/>
    <w:rsid w:val="008862D1"/>
    <w:rsid w:val="008900D3"/>
    <w:rsid w:val="00892090"/>
    <w:rsid w:val="00894A88"/>
    <w:rsid w:val="00895386"/>
    <w:rsid w:val="008A21FF"/>
    <w:rsid w:val="008A2CE2"/>
    <w:rsid w:val="008A30AC"/>
    <w:rsid w:val="008A44B8"/>
    <w:rsid w:val="008A5147"/>
    <w:rsid w:val="008A51A8"/>
    <w:rsid w:val="008A54C7"/>
    <w:rsid w:val="008A5C9A"/>
    <w:rsid w:val="008A77D8"/>
    <w:rsid w:val="008B0483"/>
    <w:rsid w:val="008B120C"/>
    <w:rsid w:val="008B1935"/>
    <w:rsid w:val="008B51A0"/>
    <w:rsid w:val="008B592A"/>
    <w:rsid w:val="008B5B9E"/>
    <w:rsid w:val="008B6903"/>
    <w:rsid w:val="008B7837"/>
    <w:rsid w:val="008B7B5C"/>
    <w:rsid w:val="008C0C99"/>
    <w:rsid w:val="008C1039"/>
    <w:rsid w:val="008C2017"/>
    <w:rsid w:val="008C4958"/>
    <w:rsid w:val="008C4BAA"/>
    <w:rsid w:val="008C6AE8"/>
    <w:rsid w:val="008C7573"/>
    <w:rsid w:val="008D2EDD"/>
    <w:rsid w:val="008D34F1"/>
    <w:rsid w:val="008D39D8"/>
    <w:rsid w:val="008D6D1A"/>
    <w:rsid w:val="008E0639"/>
    <w:rsid w:val="008E065E"/>
    <w:rsid w:val="008E0927"/>
    <w:rsid w:val="008E1909"/>
    <w:rsid w:val="008E6BAA"/>
    <w:rsid w:val="008F1EAB"/>
    <w:rsid w:val="008F33DC"/>
    <w:rsid w:val="008F477F"/>
    <w:rsid w:val="008F7668"/>
    <w:rsid w:val="00902350"/>
    <w:rsid w:val="00902CF3"/>
    <w:rsid w:val="0090336B"/>
    <w:rsid w:val="0090428F"/>
    <w:rsid w:val="009053AA"/>
    <w:rsid w:val="00906939"/>
    <w:rsid w:val="00910852"/>
    <w:rsid w:val="00910B7D"/>
    <w:rsid w:val="00911DFB"/>
    <w:rsid w:val="009139D9"/>
    <w:rsid w:val="00914AD8"/>
    <w:rsid w:val="00916079"/>
    <w:rsid w:val="00917CE9"/>
    <w:rsid w:val="00920BF2"/>
    <w:rsid w:val="00922010"/>
    <w:rsid w:val="00931BD9"/>
    <w:rsid w:val="00935739"/>
    <w:rsid w:val="00935A29"/>
    <w:rsid w:val="009368F3"/>
    <w:rsid w:val="00937269"/>
    <w:rsid w:val="00941636"/>
    <w:rsid w:val="00943742"/>
    <w:rsid w:val="00945C05"/>
    <w:rsid w:val="00945DBB"/>
    <w:rsid w:val="00946945"/>
    <w:rsid w:val="00947713"/>
    <w:rsid w:val="00950DE7"/>
    <w:rsid w:val="00952A24"/>
    <w:rsid w:val="00953920"/>
    <w:rsid w:val="00953D47"/>
    <w:rsid w:val="00953DBB"/>
    <w:rsid w:val="00954EC1"/>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340"/>
    <w:rsid w:val="009B1F30"/>
    <w:rsid w:val="009B3AC2"/>
    <w:rsid w:val="009B4DF4"/>
    <w:rsid w:val="009B564E"/>
    <w:rsid w:val="009B7AF9"/>
    <w:rsid w:val="009B7E87"/>
    <w:rsid w:val="009C2AD2"/>
    <w:rsid w:val="009C403E"/>
    <w:rsid w:val="009C6832"/>
    <w:rsid w:val="009C7F23"/>
    <w:rsid w:val="009D1E04"/>
    <w:rsid w:val="009D4FF0"/>
    <w:rsid w:val="009D703C"/>
    <w:rsid w:val="009D718F"/>
    <w:rsid w:val="009E068F"/>
    <w:rsid w:val="009E1087"/>
    <w:rsid w:val="009E14E0"/>
    <w:rsid w:val="009E35DB"/>
    <w:rsid w:val="009E47A3"/>
    <w:rsid w:val="009F08F3"/>
    <w:rsid w:val="009F23FB"/>
    <w:rsid w:val="009F344F"/>
    <w:rsid w:val="00A031D8"/>
    <w:rsid w:val="00A03211"/>
    <w:rsid w:val="00A04726"/>
    <w:rsid w:val="00A048A8"/>
    <w:rsid w:val="00A04F49"/>
    <w:rsid w:val="00A13E54"/>
    <w:rsid w:val="00A15745"/>
    <w:rsid w:val="00A15BC9"/>
    <w:rsid w:val="00A17F63"/>
    <w:rsid w:val="00A2004D"/>
    <w:rsid w:val="00A2193B"/>
    <w:rsid w:val="00A2351A"/>
    <w:rsid w:val="00A264A9"/>
    <w:rsid w:val="00A27785"/>
    <w:rsid w:val="00A30187"/>
    <w:rsid w:val="00A3448A"/>
    <w:rsid w:val="00A36297"/>
    <w:rsid w:val="00A40DF0"/>
    <w:rsid w:val="00A41E2B"/>
    <w:rsid w:val="00A45B74"/>
    <w:rsid w:val="00A52E1D"/>
    <w:rsid w:val="00A612CF"/>
    <w:rsid w:val="00A61499"/>
    <w:rsid w:val="00A62A77"/>
    <w:rsid w:val="00A62B22"/>
    <w:rsid w:val="00A63483"/>
    <w:rsid w:val="00A657D7"/>
    <w:rsid w:val="00A660AC"/>
    <w:rsid w:val="00A67E6C"/>
    <w:rsid w:val="00A71B99"/>
    <w:rsid w:val="00A739D0"/>
    <w:rsid w:val="00A761D4"/>
    <w:rsid w:val="00A77EC4"/>
    <w:rsid w:val="00A85C6C"/>
    <w:rsid w:val="00A85EF6"/>
    <w:rsid w:val="00A92879"/>
    <w:rsid w:val="00A9442A"/>
    <w:rsid w:val="00A97288"/>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2DAD"/>
    <w:rsid w:val="00AD383D"/>
    <w:rsid w:val="00AD3F94"/>
    <w:rsid w:val="00AD4A5A"/>
    <w:rsid w:val="00AE27AC"/>
    <w:rsid w:val="00AE2C74"/>
    <w:rsid w:val="00AE2FEB"/>
    <w:rsid w:val="00AE40E0"/>
    <w:rsid w:val="00AE4B61"/>
    <w:rsid w:val="00AE4DBA"/>
    <w:rsid w:val="00AE4F07"/>
    <w:rsid w:val="00AE66D3"/>
    <w:rsid w:val="00AF0198"/>
    <w:rsid w:val="00AF1C5D"/>
    <w:rsid w:val="00AF42D7"/>
    <w:rsid w:val="00B006FE"/>
    <w:rsid w:val="00B007CB"/>
    <w:rsid w:val="00B02AA9"/>
    <w:rsid w:val="00B02FA3"/>
    <w:rsid w:val="00B03374"/>
    <w:rsid w:val="00B05084"/>
    <w:rsid w:val="00B10989"/>
    <w:rsid w:val="00B1415F"/>
    <w:rsid w:val="00B157F9"/>
    <w:rsid w:val="00B20256"/>
    <w:rsid w:val="00B20D09"/>
    <w:rsid w:val="00B22552"/>
    <w:rsid w:val="00B2442C"/>
    <w:rsid w:val="00B2763F"/>
    <w:rsid w:val="00B27AAC"/>
    <w:rsid w:val="00B30929"/>
    <w:rsid w:val="00B372AA"/>
    <w:rsid w:val="00B40445"/>
    <w:rsid w:val="00B41888"/>
    <w:rsid w:val="00B45A52"/>
    <w:rsid w:val="00B46175"/>
    <w:rsid w:val="00B664C7"/>
    <w:rsid w:val="00B738C5"/>
    <w:rsid w:val="00B739F6"/>
    <w:rsid w:val="00B75A51"/>
    <w:rsid w:val="00B80EBE"/>
    <w:rsid w:val="00B81A6C"/>
    <w:rsid w:val="00B8254B"/>
    <w:rsid w:val="00B85DE5"/>
    <w:rsid w:val="00B906F7"/>
    <w:rsid w:val="00B90F73"/>
    <w:rsid w:val="00B91545"/>
    <w:rsid w:val="00B9238E"/>
    <w:rsid w:val="00B93B59"/>
    <w:rsid w:val="00B9406A"/>
    <w:rsid w:val="00BA1030"/>
    <w:rsid w:val="00BA2280"/>
    <w:rsid w:val="00BA2A08"/>
    <w:rsid w:val="00BA56D2"/>
    <w:rsid w:val="00BA76E0"/>
    <w:rsid w:val="00BB2A25"/>
    <w:rsid w:val="00BB51E9"/>
    <w:rsid w:val="00BB7DBF"/>
    <w:rsid w:val="00BC0FDC"/>
    <w:rsid w:val="00BC3053"/>
    <w:rsid w:val="00BC4D2E"/>
    <w:rsid w:val="00BD48AC"/>
    <w:rsid w:val="00BD5F1A"/>
    <w:rsid w:val="00BE1234"/>
    <w:rsid w:val="00BE2FA6"/>
    <w:rsid w:val="00BE333F"/>
    <w:rsid w:val="00BE7406"/>
    <w:rsid w:val="00BE7603"/>
    <w:rsid w:val="00BF3279"/>
    <w:rsid w:val="00BF617B"/>
    <w:rsid w:val="00BF74C7"/>
    <w:rsid w:val="00BF7642"/>
    <w:rsid w:val="00C015F1"/>
    <w:rsid w:val="00C01F33"/>
    <w:rsid w:val="00C02A4C"/>
    <w:rsid w:val="00C02CC6"/>
    <w:rsid w:val="00C040F7"/>
    <w:rsid w:val="00C044AB"/>
    <w:rsid w:val="00C046C0"/>
    <w:rsid w:val="00C05706"/>
    <w:rsid w:val="00C07377"/>
    <w:rsid w:val="00C10478"/>
    <w:rsid w:val="00C12107"/>
    <w:rsid w:val="00C14D4B"/>
    <w:rsid w:val="00C154BB"/>
    <w:rsid w:val="00C16FE9"/>
    <w:rsid w:val="00C1755A"/>
    <w:rsid w:val="00C26A86"/>
    <w:rsid w:val="00C279B5"/>
    <w:rsid w:val="00C27C45"/>
    <w:rsid w:val="00C3719D"/>
    <w:rsid w:val="00C46723"/>
    <w:rsid w:val="00C54995"/>
    <w:rsid w:val="00C54D41"/>
    <w:rsid w:val="00C576F7"/>
    <w:rsid w:val="00C60783"/>
    <w:rsid w:val="00C632A8"/>
    <w:rsid w:val="00C64672"/>
    <w:rsid w:val="00C70697"/>
    <w:rsid w:val="00C71656"/>
    <w:rsid w:val="00C72EF4"/>
    <w:rsid w:val="00C7505C"/>
    <w:rsid w:val="00C75415"/>
    <w:rsid w:val="00C75D2F"/>
    <w:rsid w:val="00C767BE"/>
    <w:rsid w:val="00C76E3C"/>
    <w:rsid w:val="00C779B5"/>
    <w:rsid w:val="00C81568"/>
    <w:rsid w:val="00C86D8A"/>
    <w:rsid w:val="00C87563"/>
    <w:rsid w:val="00C9027A"/>
    <w:rsid w:val="00C9068E"/>
    <w:rsid w:val="00C9313C"/>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D3F83"/>
    <w:rsid w:val="00CE0424"/>
    <w:rsid w:val="00CE7561"/>
    <w:rsid w:val="00CF1354"/>
    <w:rsid w:val="00CF1BF0"/>
    <w:rsid w:val="00CF226D"/>
    <w:rsid w:val="00CF3B1F"/>
    <w:rsid w:val="00CF3BF6"/>
    <w:rsid w:val="00CF625B"/>
    <w:rsid w:val="00CF687E"/>
    <w:rsid w:val="00CF7265"/>
    <w:rsid w:val="00D0349B"/>
    <w:rsid w:val="00D054D8"/>
    <w:rsid w:val="00D10249"/>
    <w:rsid w:val="00D10669"/>
    <w:rsid w:val="00D115C3"/>
    <w:rsid w:val="00D11897"/>
    <w:rsid w:val="00D13135"/>
    <w:rsid w:val="00D13E4E"/>
    <w:rsid w:val="00D20677"/>
    <w:rsid w:val="00D22F07"/>
    <w:rsid w:val="00D239A7"/>
    <w:rsid w:val="00D23F47"/>
    <w:rsid w:val="00D27B14"/>
    <w:rsid w:val="00D36E71"/>
    <w:rsid w:val="00D37D87"/>
    <w:rsid w:val="00D40B33"/>
    <w:rsid w:val="00D4318F"/>
    <w:rsid w:val="00D438BF"/>
    <w:rsid w:val="00D440F8"/>
    <w:rsid w:val="00D447E4"/>
    <w:rsid w:val="00D51369"/>
    <w:rsid w:val="00D546FF"/>
    <w:rsid w:val="00D55AD5"/>
    <w:rsid w:val="00D576CA"/>
    <w:rsid w:val="00D61AF5"/>
    <w:rsid w:val="00D652B5"/>
    <w:rsid w:val="00D66155"/>
    <w:rsid w:val="00D708B0"/>
    <w:rsid w:val="00D70B10"/>
    <w:rsid w:val="00D77B1D"/>
    <w:rsid w:val="00D8021F"/>
    <w:rsid w:val="00D80383"/>
    <w:rsid w:val="00D804E6"/>
    <w:rsid w:val="00D8155E"/>
    <w:rsid w:val="00D823C6"/>
    <w:rsid w:val="00D84C94"/>
    <w:rsid w:val="00D86CA3"/>
    <w:rsid w:val="00D871CE"/>
    <w:rsid w:val="00D9196D"/>
    <w:rsid w:val="00D92982"/>
    <w:rsid w:val="00D97202"/>
    <w:rsid w:val="00DA305E"/>
    <w:rsid w:val="00DA5417"/>
    <w:rsid w:val="00DA56E8"/>
    <w:rsid w:val="00DB0A9F"/>
    <w:rsid w:val="00DB1C93"/>
    <w:rsid w:val="00DB2A58"/>
    <w:rsid w:val="00DB377D"/>
    <w:rsid w:val="00DB524E"/>
    <w:rsid w:val="00DB5D6F"/>
    <w:rsid w:val="00DB7921"/>
    <w:rsid w:val="00DC2639"/>
    <w:rsid w:val="00DC29BC"/>
    <w:rsid w:val="00DC2D36"/>
    <w:rsid w:val="00DC53EF"/>
    <w:rsid w:val="00DC636C"/>
    <w:rsid w:val="00DD6875"/>
    <w:rsid w:val="00DE5608"/>
    <w:rsid w:val="00DE58D0"/>
    <w:rsid w:val="00DE654F"/>
    <w:rsid w:val="00DF0B6E"/>
    <w:rsid w:val="00DF15E0"/>
    <w:rsid w:val="00DF336D"/>
    <w:rsid w:val="00DF37A0"/>
    <w:rsid w:val="00E110E7"/>
    <w:rsid w:val="00E11B20"/>
    <w:rsid w:val="00E17FA2"/>
    <w:rsid w:val="00E22330"/>
    <w:rsid w:val="00E23DFB"/>
    <w:rsid w:val="00E30B5A"/>
    <w:rsid w:val="00E3123D"/>
    <w:rsid w:val="00E31461"/>
    <w:rsid w:val="00E31D43"/>
    <w:rsid w:val="00E32608"/>
    <w:rsid w:val="00E34188"/>
    <w:rsid w:val="00E34B6E"/>
    <w:rsid w:val="00E35559"/>
    <w:rsid w:val="00E3666F"/>
    <w:rsid w:val="00E3723A"/>
    <w:rsid w:val="00E37860"/>
    <w:rsid w:val="00E446F1"/>
    <w:rsid w:val="00E44EAD"/>
    <w:rsid w:val="00E46886"/>
    <w:rsid w:val="00E47AEF"/>
    <w:rsid w:val="00E53998"/>
    <w:rsid w:val="00E53B75"/>
    <w:rsid w:val="00E54E3B"/>
    <w:rsid w:val="00E5689D"/>
    <w:rsid w:val="00E57565"/>
    <w:rsid w:val="00E63838"/>
    <w:rsid w:val="00E63AA1"/>
    <w:rsid w:val="00E64434"/>
    <w:rsid w:val="00E64B80"/>
    <w:rsid w:val="00E6681A"/>
    <w:rsid w:val="00E67C51"/>
    <w:rsid w:val="00E71095"/>
    <w:rsid w:val="00E72EFC"/>
    <w:rsid w:val="00E758EC"/>
    <w:rsid w:val="00E8234C"/>
    <w:rsid w:val="00E83AA9"/>
    <w:rsid w:val="00E85928"/>
    <w:rsid w:val="00E87822"/>
    <w:rsid w:val="00E90395"/>
    <w:rsid w:val="00E90E49"/>
    <w:rsid w:val="00E917F9"/>
    <w:rsid w:val="00E9291C"/>
    <w:rsid w:val="00E93FFE"/>
    <w:rsid w:val="00E943EA"/>
    <w:rsid w:val="00E94F8A"/>
    <w:rsid w:val="00EA4B16"/>
    <w:rsid w:val="00EA7A41"/>
    <w:rsid w:val="00EB077B"/>
    <w:rsid w:val="00EB4EA2"/>
    <w:rsid w:val="00EC27C6"/>
    <w:rsid w:val="00EC4207"/>
    <w:rsid w:val="00EC5653"/>
    <w:rsid w:val="00EC71CE"/>
    <w:rsid w:val="00EC77A7"/>
    <w:rsid w:val="00ED1006"/>
    <w:rsid w:val="00ED2215"/>
    <w:rsid w:val="00ED6DD9"/>
    <w:rsid w:val="00ED7EFC"/>
    <w:rsid w:val="00EE59C8"/>
    <w:rsid w:val="00EF18FE"/>
    <w:rsid w:val="00EF5787"/>
    <w:rsid w:val="00EF60D0"/>
    <w:rsid w:val="00F044A4"/>
    <w:rsid w:val="00F0528D"/>
    <w:rsid w:val="00F06C67"/>
    <w:rsid w:val="00F06DFD"/>
    <w:rsid w:val="00F071D1"/>
    <w:rsid w:val="00F07533"/>
    <w:rsid w:val="00F10629"/>
    <w:rsid w:val="00F15FA5"/>
    <w:rsid w:val="00F209B7"/>
    <w:rsid w:val="00F2376F"/>
    <w:rsid w:val="00F243D8"/>
    <w:rsid w:val="00F27975"/>
    <w:rsid w:val="00F30828"/>
    <w:rsid w:val="00F313D6"/>
    <w:rsid w:val="00F40F0C"/>
    <w:rsid w:val="00F4766C"/>
    <w:rsid w:val="00F5028E"/>
    <w:rsid w:val="00F5060E"/>
    <w:rsid w:val="00F507D1"/>
    <w:rsid w:val="00F519CE"/>
    <w:rsid w:val="00F51ADA"/>
    <w:rsid w:val="00F53026"/>
    <w:rsid w:val="00F607C5"/>
    <w:rsid w:val="00F60DEA"/>
    <w:rsid w:val="00F6302A"/>
    <w:rsid w:val="00F6408B"/>
    <w:rsid w:val="00F64C2B"/>
    <w:rsid w:val="00F651BE"/>
    <w:rsid w:val="00F67F53"/>
    <w:rsid w:val="00F703BE"/>
    <w:rsid w:val="00F709FB"/>
    <w:rsid w:val="00F71F69"/>
    <w:rsid w:val="00F72B72"/>
    <w:rsid w:val="00F74BB9"/>
    <w:rsid w:val="00F75582"/>
    <w:rsid w:val="00F76EFA"/>
    <w:rsid w:val="00F804BE"/>
    <w:rsid w:val="00F817CE"/>
    <w:rsid w:val="00F82B5F"/>
    <w:rsid w:val="00F8456C"/>
    <w:rsid w:val="00F859D8"/>
    <w:rsid w:val="00F868F5"/>
    <w:rsid w:val="00F8701D"/>
    <w:rsid w:val="00F9056A"/>
    <w:rsid w:val="00F90F8D"/>
    <w:rsid w:val="00F92782"/>
    <w:rsid w:val="00F93AA9"/>
    <w:rsid w:val="00F96985"/>
    <w:rsid w:val="00F97838"/>
    <w:rsid w:val="00FA2BB3"/>
    <w:rsid w:val="00FB3A7E"/>
    <w:rsid w:val="00FB4417"/>
    <w:rsid w:val="00FB4C80"/>
    <w:rsid w:val="00FB6A6A"/>
    <w:rsid w:val="00FC1BE6"/>
    <w:rsid w:val="00FC7429"/>
    <w:rsid w:val="00FD07F6"/>
    <w:rsid w:val="00FD1EC8"/>
    <w:rsid w:val="00FD47ED"/>
    <w:rsid w:val="00FD74DB"/>
    <w:rsid w:val="00FD7660"/>
    <w:rsid w:val="00FE0655"/>
    <w:rsid w:val="00FE2365"/>
    <w:rsid w:val="00FE37D7"/>
    <w:rsid w:val="00FE4C7B"/>
    <w:rsid w:val="00FE5591"/>
    <w:rsid w:val="00FE6511"/>
    <w:rsid w:val="00FE7336"/>
    <w:rsid w:val="00FE787C"/>
    <w:rsid w:val="00FF032C"/>
    <w:rsid w:val="00FF45A5"/>
    <w:rsid w:val="00FF5C91"/>
    <w:rsid w:val="00FF6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07B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1707B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707B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707BB"/>
    <w:pPr>
      <w:numPr>
        <w:ilvl w:val="2"/>
      </w:numPr>
      <w:spacing w:before="120"/>
      <w:outlineLvl w:val="2"/>
    </w:pPr>
    <w:rPr>
      <w:sz w:val="24"/>
      <w:szCs w:val="28"/>
    </w:rPr>
  </w:style>
  <w:style w:type="paragraph" w:styleId="Heading4">
    <w:name w:val="heading 4"/>
    <w:basedOn w:val="Heading3"/>
    <w:next w:val="Normal"/>
    <w:qFormat/>
    <w:rsid w:val="001707BB"/>
    <w:pPr>
      <w:numPr>
        <w:ilvl w:val="3"/>
      </w:numPr>
      <w:outlineLvl w:val="3"/>
    </w:pPr>
    <w:rPr>
      <w:szCs w:val="24"/>
    </w:rPr>
  </w:style>
  <w:style w:type="paragraph" w:styleId="Heading5">
    <w:name w:val="heading 5"/>
    <w:basedOn w:val="Heading4"/>
    <w:next w:val="Normal"/>
    <w:qFormat/>
    <w:rsid w:val="001707BB"/>
    <w:pPr>
      <w:numPr>
        <w:ilvl w:val="4"/>
      </w:numPr>
      <w:outlineLvl w:val="4"/>
    </w:pPr>
    <w:rPr>
      <w:sz w:val="22"/>
      <w:szCs w:val="22"/>
    </w:rPr>
  </w:style>
  <w:style w:type="paragraph" w:styleId="Heading6">
    <w:name w:val="heading 6"/>
    <w:basedOn w:val="Normal"/>
    <w:next w:val="Normal"/>
    <w:qFormat/>
    <w:rsid w:val="001707BB"/>
    <w:pPr>
      <w:keepNext/>
      <w:keepLines/>
      <w:numPr>
        <w:ilvl w:val="5"/>
        <w:numId w:val="1"/>
      </w:numPr>
      <w:spacing w:before="120"/>
      <w:outlineLvl w:val="5"/>
    </w:pPr>
    <w:rPr>
      <w:rFonts w:cs="Arial"/>
    </w:rPr>
  </w:style>
  <w:style w:type="paragraph" w:styleId="Heading7">
    <w:name w:val="heading 7"/>
    <w:basedOn w:val="Normal"/>
    <w:next w:val="Normal"/>
    <w:qFormat/>
    <w:rsid w:val="001707BB"/>
    <w:pPr>
      <w:keepNext/>
      <w:keepLines/>
      <w:numPr>
        <w:ilvl w:val="6"/>
        <w:numId w:val="1"/>
      </w:numPr>
      <w:spacing w:before="120"/>
      <w:outlineLvl w:val="6"/>
    </w:pPr>
    <w:rPr>
      <w:rFonts w:cs="Arial"/>
    </w:rPr>
  </w:style>
  <w:style w:type="paragraph" w:styleId="Heading8">
    <w:name w:val="heading 8"/>
    <w:basedOn w:val="Heading7"/>
    <w:next w:val="Normal"/>
    <w:qFormat/>
    <w:rsid w:val="001707BB"/>
    <w:pPr>
      <w:numPr>
        <w:ilvl w:val="7"/>
      </w:numPr>
      <w:outlineLvl w:val="7"/>
    </w:pPr>
  </w:style>
  <w:style w:type="paragraph" w:styleId="Heading9">
    <w:name w:val="heading 9"/>
    <w:basedOn w:val="Heading8"/>
    <w:next w:val="Normal"/>
    <w:qFormat/>
    <w:rsid w:val="001707BB"/>
    <w:pPr>
      <w:numPr>
        <w:ilvl w:val="8"/>
      </w:numPr>
      <w:outlineLvl w:val="8"/>
    </w:pPr>
  </w:style>
  <w:style w:type="character" w:default="1" w:styleId="DefaultParagraphFont">
    <w:name w:val="Default Paragraph Font"/>
    <w:uiPriority w:val="1"/>
    <w:semiHidden/>
    <w:unhideWhenUsed/>
    <w:rsid w:val="001707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07BB"/>
  </w:style>
  <w:style w:type="paragraph" w:styleId="TOC8">
    <w:name w:val="toc 8"/>
    <w:basedOn w:val="TOC1"/>
    <w:semiHidden/>
    <w:rsid w:val="001707BB"/>
    <w:pPr>
      <w:spacing w:before="180"/>
      <w:ind w:left="2693" w:hanging="2693"/>
    </w:pPr>
    <w:rPr>
      <w:b w:val="0"/>
      <w:bCs/>
    </w:rPr>
  </w:style>
  <w:style w:type="paragraph" w:styleId="TOC1">
    <w:name w:val="toc 1"/>
    <w:aliases w:val="Observation TOC2"/>
    <w:uiPriority w:val="39"/>
    <w:rsid w:val="001707B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707BB"/>
    <w:pPr>
      <w:keepNext/>
      <w:keepLines/>
      <w:spacing w:before="180"/>
      <w:jc w:val="center"/>
    </w:pPr>
  </w:style>
  <w:style w:type="paragraph" w:styleId="Caption">
    <w:name w:val="caption"/>
    <w:basedOn w:val="Normal"/>
    <w:next w:val="Normal"/>
    <w:qFormat/>
    <w:rsid w:val="001707BB"/>
    <w:pPr>
      <w:spacing w:after="240"/>
      <w:jc w:val="center"/>
    </w:pPr>
    <w:rPr>
      <w:b/>
      <w:bCs/>
    </w:rPr>
  </w:style>
  <w:style w:type="paragraph" w:styleId="TOC5">
    <w:name w:val="toc 5"/>
    <w:aliases w:val="Observation TOC"/>
    <w:basedOn w:val="TOC4"/>
    <w:semiHidden/>
    <w:rsid w:val="001707BB"/>
    <w:pPr>
      <w:tabs>
        <w:tab w:val="right" w:pos="1701"/>
      </w:tabs>
      <w:ind w:left="1701" w:hanging="1701"/>
    </w:pPr>
  </w:style>
  <w:style w:type="paragraph" w:styleId="TOC4">
    <w:name w:val="toc 4"/>
    <w:basedOn w:val="TOC3"/>
    <w:semiHidden/>
    <w:rsid w:val="001707BB"/>
    <w:pPr>
      <w:ind w:left="1418" w:hanging="1418"/>
    </w:pPr>
  </w:style>
  <w:style w:type="paragraph" w:styleId="TOC3">
    <w:name w:val="toc 3"/>
    <w:basedOn w:val="TOC2"/>
    <w:semiHidden/>
    <w:rsid w:val="001707BB"/>
    <w:pPr>
      <w:ind w:left="1134" w:hanging="1134"/>
    </w:pPr>
  </w:style>
  <w:style w:type="paragraph" w:styleId="TOC2">
    <w:name w:val="toc 2"/>
    <w:basedOn w:val="TOC1"/>
    <w:semiHidden/>
    <w:rsid w:val="001707BB"/>
    <w:pPr>
      <w:keepNext w:val="0"/>
      <w:spacing w:before="0"/>
      <w:ind w:left="851" w:hanging="851"/>
    </w:pPr>
    <w:rPr>
      <w:szCs w:val="20"/>
    </w:rPr>
  </w:style>
  <w:style w:type="paragraph" w:styleId="Index2">
    <w:name w:val="index 2"/>
    <w:basedOn w:val="Index1"/>
    <w:semiHidden/>
    <w:rsid w:val="001707BB"/>
    <w:pPr>
      <w:ind w:left="284"/>
    </w:pPr>
  </w:style>
  <w:style w:type="paragraph" w:styleId="Index1">
    <w:name w:val="index 1"/>
    <w:basedOn w:val="Normal"/>
    <w:semiHidden/>
    <w:rsid w:val="001707BB"/>
    <w:pPr>
      <w:keepLines/>
      <w:spacing w:after="0"/>
    </w:pPr>
  </w:style>
  <w:style w:type="paragraph" w:styleId="DocumentMap">
    <w:name w:val="Document Map"/>
    <w:basedOn w:val="Normal"/>
    <w:semiHidden/>
    <w:rsid w:val="001707BB"/>
    <w:pPr>
      <w:shd w:val="clear" w:color="auto" w:fill="000080"/>
    </w:pPr>
    <w:rPr>
      <w:rFonts w:ascii="Tahoma" w:hAnsi="Tahoma" w:cs="Tahoma"/>
    </w:rPr>
  </w:style>
  <w:style w:type="paragraph" w:styleId="ListNumber2">
    <w:name w:val="List Number 2"/>
    <w:basedOn w:val="ListNumber"/>
    <w:rsid w:val="001707BB"/>
    <w:pPr>
      <w:ind w:left="851"/>
    </w:pPr>
  </w:style>
  <w:style w:type="paragraph" w:styleId="ListNumber">
    <w:name w:val="List Number"/>
    <w:basedOn w:val="List"/>
    <w:rsid w:val="001707BB"/>
  </w:style>
  <w:style w:type="paragraph" w:styleId="List">
    <w:name w:val="List"/>
    <w:basedOn w:val="Normal"/>
    <w:rsid w:val="001707BB"/>
    <w:pPr>
      <w:ind w:left="568" w:hanging="284"/>
    </w:pPr>
  </w:style>
  <w:style w:type="paragraph" w:styleId="Header">
    <w:name w:val="header"/>
    <w:rsid w:val="001707B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707BB"/>
    <w:rPr>
      <w:b/>
      <w:bCs/>
      <w:position w:val="6"/>
      <w:sz w:val="16"/>
      <w:szCs w:val="16"/>
    </w:rPr>
  </w:style>
  <w:style w:type="paragraph" w:styleId="FootnoteText">
    <w:name w:val="footnote text"/>
    <w:basedOn w:val="Normal"/>
    <w:semiHidden/>
    <w:rsid w:val="001707BB"/>
    <w:pPr>
      <w:keepLines/>
      <w:spacing w:after="0"/>
      <w:ind w:left="454" w:hanging="454"/>
    </w:pPr>
    <w:rPr>
      <w:sz w:val="16"/>
      <w:szCs w:val="16"/>
    </w:rPr>
  </w:style>
  <w:style w:type="paragraph" w:customStyle="1" w:styleId="3GPPHeader">
    <w:name w:val="3GPP_Header"/>
    <w:basedOn w:val="Normal"/>
    <w:qFormat/>
    <w:rsid w:val="001707BB"/>
    <w:pPr>
      <w:tabs>
        <w:tab w:val="left" w:pos="1800"/>
        <w:tab w:val="right" w:pos="9360"/>
      </w:tabs>
      <w:spacing w:after="0"/>
    </w:pPr>
    <w:rPr>
      <w:rFonts w:ascii="Arial" w:hAnsi="Arial"/>
      <w:b/>
    </w:rPr>
  </w:style>
  <w:style w:type="paragraph" w:styleId="TOC9">
    <w:name w:val="toc 9"/>
    <w:basedOn w:val="TOC8"/>
    <w:semiHidden/>
    <w:rsid w:val="001707BB"/>
    <w:pPr>
      <w:ind w:left="1418" w:hanging="1418"/>
    </w:pPr>
  </w:style>
  <w:style w:type="paragraph" w:styleId="TOC6">
    <w:name w:val="toc 6"/>
    <w:basedOn w:val="TOC5"/>
    <w:next w:val="Normal"/>
    <w:semiHidden/>
    <w:rsid w:val="001707BB"/>
    <w:pPr>
      <w:ind w:left="1985" w:hanging="1985"/>
    </w:pPr>
  </w:style>
  <w:style w:type="paragraph" w:styleId="TOC7">
    <w:name w:val="toc 7"/>
    <w:basedOn w:val="TOC6"/>
    <w:next w:val="Normal"/>
    <w:semiHidden/>
    <w:rsid w:val="001707BB"/>
    <w:pPr>
      <w:ind w:left="2268" w:hanging="2268"/>
    </w:pPr>
  </w:style>
  <w:style w:type="paragraph" w:styleId="ListBullet2">
    <w:name w:val="List Bullet 2"/>
    <w:basedOn w:val="ListBullet"/>
    <w:rsid w:val="001707BB"/>
    <w:pPr>
      <w:numPr>
        <w:numId w:val="6"/>
      </w:numPr>
    </w:pPr>
  </w:style>
  <w:style w:type="paragraph" w:styleId="ListBullet">
    <w:name w:val="List Bullet"/>
    <w:basedOn w:val="BodyText"/>
    <w:rsid w:val="001707BB"/>
    <w:pPr>
      <w:numPr>
        <w:numId w:val="5"/>
      </w:numPr>
    </w:pPr>
  </w:style>
  <w:style w:type="paragraph" w:styleId="ListBullet3">
    <w:name w:val="List Bullet 3"/>
    <w:basedOn w:val="ListBullet2"/>
    <w:rsid w:val="001707BB"/>
    <w:pPr>
      <w:numPr>
        <w:numId w:val="7"/>
      </w:numPr>
    </w:pPr>
  </w:style>
  <w:style w:type="paragraph" w:customStyle="1" w:styleId="EQ">
    <w:name w:val="EQ"/>
    <w:basedOn w:val="Normal"/>
    <w:next w:val="Normal"/>
    <w:rsid w:val="001707BB"/>
    <w:pPr>
      <w:keepLines/>
      <w:tabs>
        <w:tab w:val="center" w:pos="4536"/>
        <w:tab w:val="right" w:pos="9072"/>
      </w:tabs>
      <w:spacing w:after="180"/>
      <w:jc w:val="left"/>
    </w:pPr>
    <w:rPr>
      <w:noProof/>
      <w:lang w:eastAsia="en-US"/>
    </w:rPr>
  </w:style>
  <w:style w:type="paragraph" w:styleId="List2">
    <w:name w:val="List 2"/>
    <w:basedOn w:val="List"/>
    <w:rsid w:val="001707BB"/>
    <w:pPr>
      <w:ind w:left="851"/>
    </w:pPr>
  </w:style>
  <w:style w:type="paragraph" w:styleId="List3">
    <w:name w:val="List 3"/>
    <w:basedOn w:val="List2"/>
    <w:rsid w:val="001707BB"/>
    <w:pPr>
      <w:ind w:left="1135"/>
    </w:pPr>
  </w:style>
  <w:style w:type="paragraph" w:styleId="List4">
    <w:name w:val="List 4"/>
    <w:basedOn w:val="List3"/>
    <w:rsid w:val="001707BB"/>
    <w:pPr>
      <w:ind w:left="1418"/>
    </w:pPr>
  </w:style>
  <w:style w:type="paragraph" w:styleId="List5">
    <w:name w:val="List 5"/>
    <w:basedOn w:val="List4"/>
    <w:rsid w:val="001707BB"/>
    <w:pPr>
      <w:ind w:left="1702"/>
    </w:pPr>
  </w:style>
  <w:style w:type="paragraph" w:customStyle="1" w:styleId="EditorsNote">
    <w:name w:val="Editor's Note"/>
    <w:basedOn w:val="Normal"/>
    <w:rsid w:val="001707BB"/>
    <w:pPr>
      <w:keepLines/>
      <w:spacing w:after="180"/>
      <w:ind w:left="1135" w:hanging="851"/>
      <w:jc w:val="left"/>
    </w:pPr>
    <w:rPr>
      <w:color w:val="FF0000"/>
      <w:lang w:eastAsia="en-US"/>
    </w:rPr>
  </w:style>
  <w:style w:type="paragraph" w:styleId="ListBullet4">
    <w:name w:val="List Bullet 4"/>
    <w:basedOn w:val="ListBullet3"/>
    <w:rsid w:val="001707BB"/>
    <w:pPr>
      <w:numPr>
        <w:numId w:val="8"/>
      </w:numPr>
    </w:pPr>
  </w:style>
  <w:style w:type="paragraph" w:styleId="ListBullet5">
    <w:name w:val="List Bullet 5"/>
    <w:basedOn w:val="ListBullet4"/>
    <w:rsid w:val="001707BB"/>
    <w:pPr>
      <w:numPr>
        <w:numId w:val="4"/>
      </w:numPr>
    </w:pPr>
  </w:style>
  <w:style w:type="paragraph" w:styleId="Footer">
    <w:name w:val="footer"/>
    <w:basedOn w:val="Header"/>
    <w:semiHidden/>
    <w:rsid w:val="001707BB"/>
    <w:pPr>
      <w:jc w:val="center"/>
    </w:pPr>
    <w:rPr>
      <w:i/>
      <w:iCs/>
    </w:rPr>
  </w:style>
  <w:style w:type="paragraph" w:customStyle="1" w:styleId="Reference">
    <w:name w:val="Reference"/>
    <w:basedOn w:val="Normal"/>
    <w:qFormat/>
    <w:rsid w:val="001707BB"/>
    <w:pPr>
      <w:numPr>
        <w:numId w:val="2"/>
      </w:numPr>
    </w:pPr>
  </w:style>
  <w:style w:type="paragraph" w:styleId="BalloonText">
    <w:name w:val="Balloon Text"/>
    <w:basedOn w:val="Normal"/>
    <w:semiHidden/>
    <w:rsid w:val="001707BB"/>
    <w:rPr>
      <w:rFonts w:ascii="Tahoma" w:hAnsi="Tahoma" w:cs="Tahoma"/>
      <w:sz w:val="16"/>
      <w:szCs w:val="16"/>
    </w:rPr>
  </w:style>
  <w:style w:type="character" w:styleId="PageNumber">
    <w:name w:val="page number"/>
    <w:basedOn w:val="DefaultParagraphFont"/>
    <w:semiHidden/>
    <w:rsid w:val="001707BB"/>
  </w:style>
  <w:style w:type="paragraph" w:styleId="BodyText">
    <w:name w:val="Body Text"/>
    <w:basedOn w:val="Normal"/>
    <w:link w:val="BodyTextChar"/>
    <w:qFormat/>
    <w:rsid w:val="001707BB"/>
  </w:style>
  <w:style w:type="character" w:styleId="Hyperlink">
    <w:name w:val="Hyperlink"/>
    <w:uiPriority w:val="99"/>
    <w:rsid w:val="001707BB"/>
    <w:rPr>
      <w:color w:val="0000FF"/>
      <w:u w:val="single"/>
      <w:lang w:val="en-GB"/>
    </w:rPr>
  </w:style>
  <w:style w:type="character" w:styleId="FollowedHyperlink">
    <w:name w:val="FollowedHyperlink"/>
    <w:semiHidden/>
    <w:rsid w:val="001707BB"/>
    <w:rPr>
      <w:color w:val="FF0000"/>
      <w:u w:val="single"/>
    </w:rPr>
  </w:style>
  <w:style w:type="character" w:styleId="CommentReference">
    <w:name w:val="annotation reference"/>
    <w:semiHidden/>
    <w:rsid w:val="001707BB"/>
    <w:rPr>
      <w:sz w:val="16"/>
      <w:szCs w:val="16"/>
    </w:rPr>
  </w:style>
  <w:style w:type="paragraph" w:styleId="CommentText">
    <w:name w:val="annotation text"/>
    <w:basedOn w:val="Normal"/>
    <w:link w:val="CommentTextChar"/>
    <w:rsid w:val="001707BB"/>
  </w:style>
  <w:style w:type="paragraph" w:styleId="CommentSubject">
    <w:name w:val="annotation subject"/>
    <w:basedOn w:val="CommentText"/>
    <w:next w:val="CommentText"/>
    <w:semiHidden/>
    <w:rsid w:val="001707BB"/>
    <w:rPr>
      <w:b/>
      <w:bCs/>
    </w:rPr>
  </w:style>
  <w:style w:type="character" w:customStyle="1" w:styleId="Heading1Char">
    <w:name w:val="Heading 1 Char"/>
    <w:link w:val="Heading1"/>
    <w:rsid w:val="001707BB"/>
    <w:rPr>
      <w:rFonts w:ascii="Arial" w:hAnsi="Arial" w:cs="Arial"/>
      <w:sz w:val="32"/>
      <w:szCs w:val="36"/>
      <w:lang w:val="en-GB" w:eastAsia="zh-CN"/>
    </w:rPr>
  </w:style>
  <w:style w:type="paragraph" w:customStyle="1" w:styleId="B1">
    <w:name w:val="B1"/>
    <w:basedOn w:val="List"/>
    <w:link w:val="B1Zchn"/>
    <w:rsid w:val="001707BB"/>
    <w:pPr>
      <w:spacing w:after="180"/>
      <w:jc w:val="left"/>
    </w:pPr>
    <w:rPr>
      <w:lang w:eastAsia="en-US"/>
    </w:rPr>
  </w:style>
  <w:style w:type="paragraph" w:customStyle="1" w:styleId="B2">
    <w:name w:val="B2"/>
    <w:basedOn w:val="List2"/>
    <w:rsid w:val="001707BB"/>
    <w:pPr>
      <w:spacing w:after="180"/>
      <w:jc w:val="left"/>
    </w:pPr>
    <w:rPr>
      <w:lang w:eastAsia="en-US"/>
    </w:rPr>
  </w:style>
  <w:style w:type="paragraph" w:customStyle="1" w:styleId="B3">
    <w:name w:val="B3"/>
    <w:basedOn w:val="List3"/>
    <w:rsid w:val="001707BB"/>
    <w:pPr>
      <w:spacing w:after="180"/>
      <w:jc w:val="left"/>
    </w:pPr>
    <w:rPr>
      <w:lang w:eastAsia="en-US"/>
    </w:rPr>
  </w:style>
  <w:style w:type="paragraph" w:customStyle="1" w:styleId="B4">
    <w:name w:val="B4"/>
    <w:basedOn w:val="List4"/>
    <w:rsid w:val="001707BB"/>
    <w:pPr>
      <w:spacing w:after="180"/>
      <w:jc w:val="left"/>
    </w:pPr>
    <w:rPr>
      <w:lang w:eastAsia="en-US"/>
    </w:rPr>
  </w:style>
  <w:style w:type="paragraph" w:customStyle="1" w:styleId="Proposal">
    <w:name w:val="Proposal"/>
    <w:basedOn w:val="Normal"/>
    <w:qFormat/>
    <w:rsid w:val="001707BB"/>
    <w:pPr>
      <w:numPr>
        <w:numId w:val="3"/>
      </w:numPr>
      <w:tabs>
        <w:tab w:val="clear" w:pos="1304"/>
        <w:tab w:val="left" w:pos="1701"/>
      </w:tabs>
      <w:ind w:left="1701" w:hanging="1701"/>
    </w:pPr>
    <w:rPr>
      <w:b/>
      <w:bCs/>
    </w:rPr>
  </w:style>
  <w:style w:type="character" w:customStyle="1" w:styleId="BodyTextChar">
    <w:name w:val="Body Text Char"/>
    <w:link w:val="BodyText"/>
    <w:rsid w:val="001707BB"/>
    <w:rPr>
      <w:rFonts w:ascii="Times New Roman" w:hAnsi="Times New Roman"/>
      <w:lang w:val="en-GB" w:eastAsia="zh-CN"/>
    </w:rPr>
  </w:style>
  <w:style w:type="paragraph" w:customStyle="1" w:styleId="B5">
    <w:name w:val="B5"/>
    <w:basedOn w:val="List5"/>
    <w:rsid w:val="001707BB"/>
    <w:pPr>
      <w:spacing w:after="180"/>
      <w:jc w:val="left"/>
    </w:pPr>
    <w:rPr>
      <w:lang w:eastAsia="en-US"/>
    </w:rPr>
  </w:style>
  <w:style w:type="paragraph" w:customStyle="1" w:styleId="EX">
    <w:name w:val="EX"/>
    <w:basedOn w:val="Normal"/>
    <w:rsid w:val="001707BB"/>
    <w:pPr>
      <w:keepLines/>
      <w:spacing w:after="180"/>
      <w:ind w:left="1702" w:hanging="1418"/>
      <w:jc w:val="left"/>
    </w:pPr>
    <w:rPr>
      <w:lang w:eastAsia="en-US"/>
    </w:rPr>
  </w:style>
  <w:style w:type="paragraph" w:customStyle="1" w:styleId="EW">
    <w:name w:val="EW"/>
    <w:basedOn w:val="EX"/>
    <w:rsid w:val="001707BB"/>
    <w:pPr>
      <w:spacing w:after="0"/>
    </w:pPr>
  </w:style>
  <w:style w:type="paragraph" w:customStyle="1" w:styleId="TAL">
    <w:name w:val="TAL"/>
    <w:basedOn w:val="Normal"/>
    <w:rsid w:val="001707BB"/>
    <w:pPr>
      <w:keepNext/>
      <w:keepLines/>
      <w:spacing w:after="0"/>
      <w:jc w:val="left"/>
    </w:pPr>
    <w:rPr>
      <w:sz w:val="18"/>
      <w:lang w:eastAsia="en-US"/>
    </w:rPr>
  </w:style>
  <w:style w:type="paragraph" w:customStyle="1" w:styleId="TAC">
    <w:name w:val="TAC"/>
    <w:basedOn w:val="TAL"/>
    <w:link w:val="TACChar"/>
    <w:rsid w:val="001707BB"/>
    <w:pPr>
      <w:jc w:val="center"/>
    </w:pPr>
  </w:style>
  <w:style w:type="paragraph" w:customStyle="1" w:styleId="TAH">
    <w:name w:val="TAH"/>
    <w:basedOn w:val="TAC"/>
    <w:link w:val="TAHCar"/>
    <w:rsid w:val="001707BB"/>
    <w:rPr>
      <w:b/>
    </w:rPr>
  </w:style>
  <w:style w:type="paragraph" w:customStyle="1" w:styleId="TAN">
    <w:name w:val="TAN"/>
    <w:basedOn w:val="TAL"/>
    <w:rsid w:val="001707BB"/>
    <w:pPr>
      <w:ind w:left="851" w:hanging="851"/>
    </w:pPr>
  </w:style>
  <w:style w:type="paragraph" w:customStyle="1" w:styleId="TAR">
    <w:name w:val="TAR"/>
    <w:basedOn w:val="TAL"/>
    <w:rsid w:val="001707BB"/>
    <w:pPr>
      <w:jc w:val="right"/>
    </w:pPr>
  </w:style>
  <w:style w:type="paragraph" w:customStyle="1" w:styleId="TH">
    <w:name w:val="TH"/>
    <w:basedOn w:val="Normal"/>
    <w:link w:val="THChar"/>
    <w:rsid w:val="001707BB"/>
    <w:pPr>
      <w:keepNext/>
      <w:keepLines/>
      <w:spacing w:before="60" w:after="180"/>
      <w:jc w:val="center"/>
    </w:pPr>
    <w:rPr>
      <w:b/>
      <w:lang w:eastAsia="en-US"/>
    </w:rPr>
  </w:style>
  <w:style w:type="paragraph" w:customStyle="1" w:styleId="TF">
    <w:name w:val="TF"/>
    <w:basedOn w:val="TH"/>
    <w:rsid w:val="001707BB"/>
    <w:pPr>
      <w:keepNext w:val="0"/>
      <w:spacing w:before="0" w:after="240"/>
    </w:pPr>
  </w:style>
  <w:style w:type="paragraph" w:customStyle="1" w:styleId="TT">
    <w:name w:val="TT"/>
    <w:basedOn w:val="Heading1"/>
    <w:next w:val="Normal"/>
    <w:rsid w:val="001707BB"/>
    <w:pPr>
      <w:numPr>
        <w:numId w:val="0"/>
      </w:numPr>
      <w:ind w:left="1134" w:hanging="1134"/>
      <w:outlineLvl w:val="9"/>
    </w:pPr>
    <w:rPr>
      <w:rFonts w:cs="Times New Roman"/>
      <w:szCs w:val="20"/>
      <w:lang w:eastAsia="en-US"/>
    </w:rPr>
  </w:style>
  <w:style w:type="paragraph" w:customStyle="1" w:styleId="ZA">
    <w:name w:val="ZA"/>
    <w:rsid w:val="00170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70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707B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707B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707BB"/>
  </w:style>
  <w:style w:type="paragraph" w:customStyle="1" w:styleId="ZH">
    <w:name w:val="ZH"/>
    <w:rsid w:val="001707B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707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707BB"/>
    <w:pPr>
      <w:framePr w:hRule="auto" w:wrap="notBeside" w:y="852"/>
    </w:pPr>
    <w:rPr>
      <w:i w:val="0"/>
      <w:sz w:val="40"/>
    </w:rPr>
  </w:style>
  <w:style w:type="paragraph" w:customStyle="1" w:styleId="ZU">
    <w:name w:val="ZU"/>
    <w:rsid w:val="00170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707BB"/>
    <w:pPr>
      <w:framePr w:wrap="notBeside" w:y="16161"/>
    </w:pPr>
  </w:style>
  <w:style w:type="paragraph" w:customStyle="1" w:styleId="FP">
    <w:name w:val="FP"/>
    <w:basedOn w:val="Normal"/>
    <w:rsid w:val="001707BB"/>
    <w:pPr>
      <w:spacing w:after="0"/>
      <w:jc w:val="left"/>
    </w:pPr>
    <w:rPr>
      <w:lang w:eastAsia="en-US"/>
    </w:rPr>
  </w:style>
  <w:style w:type="paragraph" w:customStyle="1" w:styleId="Observation">
    <w:name w:val="Observation"/>
    <w:basedOn w:val="Proposal"/>
    <w:qFormat/>
    <w:rsid w:val="001707BB"/>
    <w:pPr>
      <w:numPr>
        <w:numId w:val="13"/>
      </w:numPr>
      <w:ind w:left="1701" w:hanging="1701"/>
    </w:pPr>
  </w:style>
  <w:style w:type="paragraph" w:styleId="TableofFigures">
    <w:name w:val="table of figures"/>
    <w:basedOn w:val="Normal"/>
    <w:next w:val="Normal"/>
    <w:uiPriority w:val="99"/>
    <w:rsid w:val="001707BB"/>
    <w:pPr>
      <w:ind w:left="1418" w:hanging="1418"/>
      <w:jc w:val="left"/>
    </w:pPr>
    <w:rPr>
      <w:b/>
    </w:rPr>
  </w:style>
  <w:style w:type="paragraph" w:styleId="Index4">
    <w:name w:val="index 4"/>
    <w:basedOn w:val="Normal"/>
    <w:next w:val="Normal"/>
    <w:autoRedefine/>
    <w:rsid w:val="001707BB"/>
    <w:pPr>
      <w:ind w:left="800" w:hanging="200"/>
    </w:pPr>
  </w:style>
  <w:style w:type="paragraph" w:styleId="ListParagraph">
    <w:name w:val="List Paragraph"/>
    <w:aliases w:val="- Bullets,목록 단락,リスト段落,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AD2DAD"/>
    <w:rPr>
      <w:color w:val="808080"/>
    </w:rPr>
  </w:style>
  <w:style w:type="character" w:styleId="UnresolvedMention">
    <w:name w:val="Unresolved Mention"/>
    <w:basedOn w:val="DefaultParagraphFont"/>
    <w:uiPriority w:val="99"/>
    <w:semiHidden/>
    <w:unhideWhenUsed/>
    <w:rsid w:val="00A612CF"/>
    <w:rPr>
      <w:color w:val="808080"/>
      <w:shd w:val="clear" w:color="auto" w:fill="E6E6E6"/>
    </w:rPr>
  </w:style>
  <w:style w:type="character" w:customStyle="1" w:styleId="CommentTextChar">
    <w:name w:val="Comment Text Char"/>
    <w:link w:val="CommentText"/>
    <w:rsid w:val="00ED7EFC"/>
    <w:rPr>
      <w:rFonts w:ascii="Times New Roman" w:hAnsi="Times New Roman"/>
      <w:lang w:val="en-GB" w:eastAsia="zh-CN"/>
    </w:rPr>
  </w:style>
  <w:style w:type="character" w:customStyle="1" w:styleId="B1Zchn">
    <w:name w:val="B1 Zchn"/>
    <w:link w:val="B1"/>
    <w:rsid w:val="00902CF3"/>
    <w:rPr>
      <w:rFonts w:ascii="Times New Roman" w:hAnsi="Times New Roman"/>
      <w:lang w:val="en-GB"/>
    </w:rPr>
  </w:style>
  <w:style w:type="paragraph" w:customStyle="1" w:styleId="textintend1">
    <w:name w:val="text intend 1"/>
    <w:basedOn w:val="Normal"/>
    <w:rsid w:val="00902CF3"/>
    <w:pPr>
      <w:numPr>
        <w:numId w:val="22"/>
      </w:numPr>
    </w:pPr>
    <w:rPr>
      <w:rFonts w:eastAsia="MS Mincho"/>
      <w:sz w:val="24"/>
      <w:lang w:val="en-US" w:eastAsia="en-GB"/>
    </w:rPr>
  </w:style>
  <w:style w:type="character" w:customStyle="1" w:styleId="B1Char1">
    <w:name w:val="B1 Char1"/>
    <w:rsid w:val="000339A1"/>
    <w:rPr>
      <w:lang w:val="en-GB" w:eastAsia="en-US"/>
    </w:rPr>
  </w:style>
  <w:style w:type="character" w:customStyle="1" w:styleId="THChar">
    <w:name w:val="TH Char"/>
    <w:link w:val="TH"/>
    <w:qFormat/>
    <w:rsid w:val="000339A1"/>
    <w:rPr>
      <w:rFonts w:ascii="Times New Roman" w:hAnsi="Times New Roman"/>
      <w:b/>
      <w:lang w:val="en-GB"/>
    </w:rPr>
  </w:style>
  <w:style w:type="character" w:customStyle="1" w:styleId="TACChar">
    <w:name w:val="TAC Char"/>
    <w:link w:val="TAC"/>
    <w:rsid w:val="000339A1"/>
    <w:rPr>
      <w:rFonts w:ascii="Times New Roman" w:hAnsi="Times New Roman"/>
      <w:sz w:val="18"/>
      <w:lang w:val="en-GB"/>
    </w:rPr>
  </w:style>
  <w:style w:type="character" w:customStyle="1" w:styleId="TAHCar">
    <w:name w:val="TAH Car"/>
    <w:link w:val="TAH"/>
    <w:qFormat/>
    <w:rsid w:val="00DB524E"/>
    <w:rPr>
      <w:rFonts w:ascii="Times New Roman" w:hAnsi="Times New Roman"/>
      <w:b/>
      <w:sz w:val="18"/>
      <w:lang w:val="en-GB"/>
    </w:rPr>
  </w:style>
  <w:style w:type="paragraph" w:styleId="BodyTextIndent2">
    <w:name w:val="Body Text Indent 2"/>
    <w:basedOn w:val="Normal"/>
    <w:link w:val="BodyTextIndent2Char"/>
    <w:rsid w:val="00DB524E"/>
    <w:pPr>
      <w:widowControl w:val="0"/>
      <w:numPr>
        <w:numId w:val="24"/>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DB524E"/>
    <w:rPr>
      <w:rFonts w:ascii="Times New Roman" w:hAnsi="Times New Roman"/>
      <w:kern w:val="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0735">
      <w:bodyDiv w:val="1"/>
      <w:marLeft w:val="0"/>
      <w:marRight w:val="0"/>
      <w:marTop w:val="0"/>
      <w:marBottom w:val="0"/>
      <w:divBdr>
        <w:top w:val="none" w:sz="0" w:space="0" w:color="auto"/>
        <w:left w:val="none" w:sz="0" w:space="0" w:color="auto"/>
        <w:bottom w:val="none" w:sz="0" w:space="0" w:color="auto"/>
        <w:right w:val="none" w:sz="0" w:space="0" w:color="auto"/>
      </w:divBdr>
    </w:div>
    <w:div w:id="177890928">
      <w:bodyDiv w:val="1"/>
      <w:marLeft w:val="0"/>
      <w:marRight w:val="0"/>
      <w:marTop w:val="0"/>
      <w:marBottom w:val="0"/>
      <w:divBdr>
        <w:top w:val="none" w:sz="0" w:space="0" w:color="auto"/>
        <w:left w:val="none" w:sz="0" w:space="0" w:color="auto"/>
        <w:bottom w:val="none" w:sz="0" w:space="0" w:color="auto"/>
        <w:right w:val="none" w:sz="0" w:space="0" w:color="auto"/>
      </w:divBdr>
      <w:divsChild>
        <w:div w:id="1264413954">
          <w:marLeft w:val="0"/>
          <w:marRight w:val="0"/>
          <w:marTop w:val="0"/>
          <w:marBottom w:val="0"/>
          <w:divBdr>
            <w:top w:val="none" w:sz="0" w:space="0" w:color="auto"/>
            <w:left w:val="none" w:sz="0" w:space="0" w:color="auto"/>
            <w:bottom w:val="none" w:sz="0" w:space="0" w:color="auto"/>
            <w:right w:val="none" w:sz="0" w:space="0" w:color="auto"/>
          </w:divBdr>
        </w:div>
      </w:divsChild>
    </w:div>
    <w:div w:id="365444197">
      <w:bodyDiv w:val="1"/>
      <w:marLeft w:val="0"/>
      <w:marRight w:val="0"/>
      <w:marTop w:val="0"/>
      <w:marBottom w:val="0"/>
      <w:divBdr>
        <w:top w:val="none" w:sz="0" w:space="0" w:color="auto"/>
        <w:left w:val="none" w:sz="0" w:space="0" w:color="auto"/>
        <w:bottom w:val="none" w:sz="0" w:space="0" w:color="auto"/>
        <w:right w:val="none" w:sz="0" w:space="0" w:color="auto"/>
      </w:divBdr>
    </w:div>
    <w:div w:id="381710584">
      <w:bodyDiv w:val="1"/>
      <w:marLeft w:val="0"/>
      <w:marRight w:val="0"/>
      <w:marTop w:val="0"/>
      <w:marBottom w:val="0"/>
      <w:divBdr>
        <w:top w:val="none" w:sz="0" w:space="0" w:color="auto"/>
        <w:left w:val="none" w:sz="0" w:space="0" w:color="auto"/>
        <w:bottom w:val="none" w:sz="0" w:space="0" w:color="auto"/>
        <w:right w:val="none" w:sz="0" w:space="0" w:color="auto"/>
      </w:divBdr>
    </w:div>
    <w:div w:id="552694982">
      <w:bodyDiv w:val="1"/>
      <w:marLeft w:val="0"/>
      <w:marRight w:val="0"/>
      <w:marTop w:val="0"/>
      <w:marBottom w:val="0"/>
      <w:divBdr>
        <w:top w:val="none" w:sz="0" w:space="0" w:color="auto"/>
        <w:left w:val="none" w:sz="0" w:space="0" w:color="auto"/>
        <w:bottom w:val="none" w:sz="0" w:space="0" w:color="auto"/>
        <w:right w:val="none" w:sz="0" w:space="0" w:color="auto"/>
      </w:divBdr>
    </w:div>
    <w:div w:id="664479648">
      <w:bodyDiv w:val="1"/>
      <w:marLeft w:val="0"/>
      <w:marRight w:val="0"/>
      <w:marTop w:val="0"/>
      <w:marBottom w:val="0"/>
      <w:divBdr>
        <w:top w:val="none" w:sz="0" w:space="0" w:color="auto"/>
        <w:left w:val="none" w:sz="0" w:space="0" w:color="auto"/>
        <w:bottom w:val="none" w:sz="0" w:space="0" w:color="auto"/>
        <w:right w:val="none" w:sz="0" w:space="0" w:color="auto"/>
      </w:divBdr>
    </w:div>
    <w:div w:id="908073270">
      <w:bodyDiv w:val="1"/>
      <w:marLeft w:val="0"/>
      <w:marRight w:val="0"/>
      <w:marTop w:val="0"/>
      <w:marBottom w:val="0"/>
      <w:divBdr>
        <w:top w:val="none" w:sz="0" w:space="0" w:color="auto"/>
        <w:left w:val="none" w:sz="0" w:space="0" w:color="auto"/>
        <w:bottom w:val="none" w:sz="0" w:space="0" w:color="auto"/>
        <w:right w:val="none" w:sz="0" w:space="0" w:color="auto"/>
      </w:divBdr>
    </w:div>
    <w:div w:id="986472476">
      <w:bodyDiv w:val="1"/>
      <w:marLeft w:val="0"/>
      <w:marRight w:val="0"/>
      <w:marTop w:val="0"/>
      <w:marBottom w:val="0"/>
      <w:divBdr>
        <w:top w:val="none" w:sz="0" w:space="0" w:color="auto"/>
        <w:left w:val="none" w:sz="0" w:space="0" w:color="auto"/>
        <w:bottom w:val="none" w:sz="0" w:space="0" w:color="auto"/>
        <w:right w:val="none" w:sz="0" w:space="0" w:color="auto"/>
      </w:divBdr>
    </w:div>
    <w:div w:id="1405563719">
      <w:bodyDiv w:val="1"/>
      <w:marLeft w:val="0"/>
      <w:marRight w:val="0"/>
      <w:marTop w:val="0"/>
      <w:marBottom w:val="0"/>
      <w:divBdr>
        <w:top w:val="none" w:sz="0" w:space="0" w:color="auto"/>
        <w:left w:val="none" w:sz="0" w:space="0" w:color="auto"/>
        <w:bottom w:val="none" w:sz="0" w:space="0" w:color="auto"/>
        <w:right w:val="none" w:sz="0" w:space="0" w:color="auto"/>
      </w:divBdr>
    </w:div>
    <w:div w:id="1438864027">
      <w:bodyDiv w:val="1"/>
      <w:marLeft w:val="0"/>
      <w:marRight w:val="0"/>
      <w:marTop w:val="0"/>
      <w:marBottom w:val="0"/>
      <w:divBdr>
        <w:top w:val="none" w:sz="0" w:space="0" w:color="auto"/>
        <w:left w:val="none" w:sz="0" w:space="0" w:color="auto"/>
        <w:bottom w:val="none" w:sz="0" w:space="0" w:color="auto"/>
        <w:right w:val="none" w:sz="0" w:space="0" w:color="auto"/>
      </w:divBdr>
    </w:div>
    <w:div w:id="1735934731">
      <w:bodyDiv w:val="1"/>
      <w:marLeft w:val="0"/>
      <w:marRight w:val="0"/>
      <w:marTop w:val="0"/>
      <w:marBottom w:val="0"/>
      <w:divBdr>
        <w:top w:val="none" w:sz="0" w:space="0" w:color="auto"/>
        <w:left w:val="none" w:sz="0" w:space="0" w:color="auto"/>
        <w:bottom w:val="none" w:sz="0" w:space="0" w:color="auto"/>
        <w:right w:val="none" w:sz="0" w:space="0" w:color="auto"/>
      </w:divBdr>
    </w:div>
    <w:div w:id="1897818961">
      <w:bodyDiv w:val="1"/>
      <w:marLeft w:val="0"/>
      <w:marRight w:val="0"/>
      <w:marTop w:val="0"/>
      <w:marBottom w:val="0"/>
      <w:divBdr>
        <w:top w:val="none" w:sz="0" w:space="0" w:color="auto"/>
        <w:left w:val="none" w:sz="0" w:space="0" w:color="auto"/>
        <w:bottom w:val="none" w:sz="0" w:space="0" w:color="auto"/>
        <w:right w:val="none" w:sz="0" w:space="0" w:color="auto"/>
      </w:divBdr>
    </w:div>
    <w:div w:id="2019231688">
      <w:bodyDiv w:val="1"/>
      <w:marLeft w:val="0"/>
      <w:marRight w:val="0"/>
      <w:marTop w:val="0"/>
      <w:marBottom w:val="0"/>
      <w:divBdr>
        <w:top w:val="none" w:sz="0" w:space="0" w:color="auto"/>
        <w:left w:val="none" w:sz="0" w:space="0" w:color="auto"/>
        <w:bottom w:val="none" w:sz="0" w:space="0" w:color="auto"/>
        <w:right w:val="none" w:sz="0" w:space="0" w:color="auto"/>
      </w:divBdr>
    </w:div>
    <w:div w:id="2083328000">
      <w:bodyDiv w:val="1"/>
      <w:marLeft w:val="0"/>
      <w:marRight w:val="0"/>
      <w:marTop w:val="0"/>
      <w:marBottom w:val="0"/>
      <w:divBdr>
        <w:top w:val="none" w:sz="0" w:space="0" w:color="auto"/>
        <w:left w:val="none" w:sz="0" w:space="0" w:color="auto"/>
        <w:bottom w:val="none" w:sz="0" w:space="0" w:color="auto"/>
        <w:right w:val="none" w:sz="0" w:space="0" w:color="auto"/>
      </w:divBdr>
    </w:div>
    <w:div w:id="210718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B7BCA5EB-527E-45AC-9566-339EECD5E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13</TotalTime>
  <Pages>5</Pages>
  <Words>2394</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3</cp:revision>
  <cp:lastPrinted>2008-01-31T15:09:00Z</cp:lastPrinted>
  <dcterms:created xsi:type="dcterms:W3CDTF">2018-04-06T18:19:00Z</dcterms:created>
  <dcterms:modified xsi:type="dcterms:W3CDTF">2018-04-06T18:57:00Z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